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638AF" w14:textId="77777777" w:rsidR="0088093D" w:rsidRPr="007C2DEC" w:rsidRDefault="0088093D" w:rsidP="00D83F96">
      <w:pPr>
        <w:rPr>
          <w:rFonts w:ascii="Arial" w:hAnsi="Arial" w:cs="Arial"/>
        </w:rPr>
      </w:pPr>
    </w:p>
    <w:p w14:paraId="55595383" w14:textId="77777777" w:rsidR="005B4FBE" w:rsidRPr="007C2DEC" w:rsidRDefault="005B4FBE" w:rsidP="00D83F96">
      <w:pPr>
        <w:rPr>
          <w:rFonts w:ascii="Arial" w:hAnsi="Arial" w:cs="Arial"/>
        </w:rPr>
      </w:pPr>
    </w:p>
    <w:p w14:paraId="5EE59C6F" w14:textId="438CF59F" w:rsidR="005B4FBE" w:rsidRPr="007C2DEC" w:rsidRDefault="005B4FBE" w:rsidP="00D83F96">
      <w:pPr>
        <w:rPr>
          <w:rFonts w:ascii="Arial" w:hAnsi="Arial" w:cs="Arial"/>
        </w:rPr>
      </w:pPr>
    </w:p>
    <w:p w14:paraId="29AF405E" w14:textId="1F7FFE1E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6E92BEAD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38479727" w:rsidR="00331CA3" w:rsidRPr="003A326A" w:rsidRDefault="00BF70F7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53C8783D">
                <wp:simplePos x="0" y="0"/>
                <wp:positionH relativeFrom="column">
                  <wp:posOffset>-471170</wp:posOffset>
                </wp:positionH>
                <wp:positionV relativeFrom="paragraph">
                  <wp:posOffset>348615</wp:posOffset>
                </wp:positionV>
                <wp:extent cx="3238500" cy="719137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19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2547E1CD" w14:textId="6F7DCF7A" w:rsidR="005E177D" w:rsidRPr="000B0433" w:rsidRDefault="000B0433" w:rsidP="0065482E">
                            <w:pPr>
                              <w:pStyle w:val="berschrift1"/>
                              <w:spacing w:before="0" w:after="60" w:line="240" w:lineRule="auto"/>
                              <w:contextualSpacing/>
                              <w:rPr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0433">
                              <w:rPr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  <w:t>Was bedeutet BEM?</w:t>
                            </w:r>
                          </w:p>
                          <w:p w14:paraId="0D38CECF" w14:textId="77777777" w:rsidR="000B0433" w:rsidRDefault="000B0433" w:rsidP="0065482E">
                            <w:pPr>
                              <w:spacing w:after="60" w:line="240" w:lineRule="auto"/>
                            </w:pPr>
                            <w:r w:rsidRPr="000B0433">
                              <w:t>Das Betriebliche Eingliederungsmanagement (BEM) verpflichtet den Arbeitgeber mit jedem Arbeitnehmer, der länger als 6 Wochen zusammenhängend oder wiederholt innerhalb eines Jahres arbeitsunfähig erkrankt ist, ein Gespräch zur Wiedereingliederung in die Arbeit zu führen. (Grundlage im Sozialgesetzbuch IX § 167 Absatz 2)</w:t>
                            </w:r>
                          </w:p>
                          <w:p w14:paraId="5410C17B" w14:textId="77777777" w:rsidR="000B0433" w:rsidRDefault="000B0433" w:rsidP="0065482E">
                            <w:pPr>
                              <w:spacing w:after="60" w:line="240" w:lineRule="auto"/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E9DC8C" w14:textId="7FF423DD" w:rsidR="000B0433" w:rsidRPr="000B0433" w:rsidRDefault="000B0433" w:rsidP="0065482E">
                            <w:pPr>
                              <w:spacing w:after="60" w:line="240" w:lineRule="auto"/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0433"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  <w:t>Was ist neu am BEM?</w:t>
                            </w:r>
                          </w:p>
                          <w:p w14:paraId="25BEA5F3" w14:textId="1C627DCA" w:rsidR="000B0433" w:rsidRDefault="000B0433" w:rsidP="0065482E">
                            <w:pPr>
                              <w:pStyle w:val="KeinLeerraum"/>
                              <w:spacing w:after="60"/>
                            </w:pPr>
                            <w:r w:rsidRPr="000B0433">
                              <w:t>Mit dem</w:t>
                            </w:r>
                            <w:r w:rsidR="00C71719">
                              <w:t xml:space="preserve"> </w:t>
                            </w:r>
                            <w:r w:rsidRPr="000B0433">
                              <w:t xml:space="preserve">Teilhabestärkungsgesetz vom 02.06.2021 wurde das SGB IX ergänzt: „Beschäftigte können eine Vertrauensperson eigener Wahl hinzuziehen.“  Das kann – wie bisher – ein Mitglied des </w:t>
                            </w:r>
                            <w:r w:rsidR="0065482E">
                              <w:t>Personalrat</w:t>
                            </w:r>
                            <w:r w:rsidRPr="000B0433">
                              <w:t>s sein, aber auch ein Arbeitskollege oder eine betriebsfremde Person sein, z. B. ein Familienangehöriger, guter Freund oder Rechtsanwalt.</w:t>
                            </w:r>
                          </w:p>
                          <w:p w14:paraId="03AC3F13" w14:textId="77777777" w:rsidR="000B0433" w:rsidRPr="000B0433" w:rsidRDefault="000B0433" w:rsidP="0065482E">
                            <w:pPr>
                              <w:pStyle w:val="KeinLeerraum"/>
                              <w:spacing w:after="60"/>
                            </w:pPr>
                          </w:p>
                          <w:p w14:paraId="1DF132DF" w14:textId="77777777" w:rsidR="000B0433" w:rsidRPr="000B0433" w:rsidRDefault="000B0433" w:rsidP="0065482E">
                            <w:pPr>
                              <w:spacing w:after="60" w:line="240" w:lineRule="auto"/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0433"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  <w:t>Ich möchte eine Person meines Vertrauens hinzuziehen. Was muss ich beachten?</w:t>
                            </w:r>
                          </w:p>
                          <w:p w14:paraId="49395573" w14:textId="27D5A12E" w:rsidR="000B0433" w:rsidRDefault="000B0433" w:rsidP="0065482E">
                            <w:pPr>
                              <w:pStyle w:val="KeinLeerraum"/>
                              <w:spacing w:after="60"/>
                            </w:pPr>
                            <w:r w:rsidRPr="000B0433">
                              <w:t>Der Beschäftigte muss die Vertrauensstellung der hinzugezogenen Person z.</w:t>
                            </w:r>
                            <w:r w:rsidR="009129D0">
                              <w:t xml:space="preserve"> </w:t>
                            </w:r>
                            <w:r w:rsidRPr="000B0433">
                              <w:t>B. durch eine Vollmacht nachweisen. Der Vertrauensperson sind dann alle im Verfahren vorhandenen Unterlagen ebenfalls auszuhändigen. Sonst kann sie ihrer Aufgabe nicht gerecht werden.</w:t>
                            </w:r>
                          </w:p>
                          <w:p w14:paraId="4F1E4112" w14:textId="77777777" w:rsidR="000B0433" w:rsidRPr="000B0433" w:rsidRDefault="000B0433" w:rsidP="0065482E">
                            <w:pPr>
                              <w:pStyle w:val="KeinLeerraum"/>
                              <w:spacing w:after="60"/>
                            </w:pPr>
                          </w:p>
                          <w:p w14:paraId="378FFEB6" w14:textId="77777777" w:rsidR="000B0433" w:rsidRPr="000B0433" w:rsidRDefault="000B0433" w:rsidP="0065482E">
                            <w:pPr>
                              <w:spacing w:after="60" w:line="240" w:lineRule="auto"/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0433"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  <w:t>Was ist, wenn durch die Hinzuziehung der Vertrauensperson Kosten entstehen: Wer trägt diese?</w:t>
                            </w:r>
                          </w:p>
                          <w:p w14:paraId="2A2B4F1B" w14:textId="5B3BFFEA" w:rsidR="000B0433" w:rsidRDefault="000B0433" w:rsidP="0065482E">
                            <w:pPr>
                              <w:pStyle w:val="KeinLeerraum"/>
                              <w:spacing w:after="60"/>
                            </w:pPr>
                            <w:r w:rsidRPr="000B0433">
                              <w:t xml:space="preserve">Für die Hinzuziehung einer Vertrauensperson eventuell entstehende Kosten trägt der Arbeitnehmer. </w:t>
                            </w:r>
                            <w:r w:rsidR="009129D0">
                              <w:br/>
                            </w:r>
                            <w:r w:rsidRPr="000B0433">
                              <w:t>Besitzen Sie eine Rechtschutzversicherung, lohnt es sich zu prüfen, ob die Unterstützung beim BEM mit abgedeckt ist.</w:t>
                            </w:r>
                          </w:p>
                          <w:p w14:paraId="319DA78B" w14:textId="77777777" w:rsidR="000B0433" w:rsidRPr="000B0433" w:rsidRDefault="000B0433" w:rsidP="0065482E">
                            <w:pPr>
                              <w:pStyle w:val="KeinLeerraum"/>
                              <w:spacing w:after="60"/>
                            </w:pPr>
                          </w:p>
                          <w:p w14:paraId="7A7C0435" w14:textId="77777777" w:rsidR="000B0433" w:rsidRDefault="000B0433" w:rsidP="0065482E">
                            <w:pPr>
                              <w:spacing w:after="60" w:line="240" w:lineRule="auto"/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6811E" w14:textId="21DB709D" w:rsidR="000B0433" w:rsidRPr="000B0433" w:rsidRDefault="000B0433" w:rsidP="0065482E">
                            <w:pPr>
                              <w:spacing w:after="60" w:line="240" w:lineRule="auto"/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0433"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  <w:t>Darf das BEM auch online durchgeführt werden?</w:t>
                            </w:r>
                          </w:p>
                          <w:p w14:paraId="75145295" w14:textId="5526FA5E" w:rsidR="000B0433" w:rsidRPr="000B0433" w:rsidRDefault="000B0433" w:rsidP="0065482E">
                            <w:pPr>
                              <w:pStyle w:val="KeinLeerraum"/>
                              <w:spacing w:after="60"/>
                            </w:pPr>
                            <w:r w:rsidRPr="000B0433">
                              <w:t xml:space="preserve">Es ist grundsätzlich möglich, dass BEM auch mittels </w:t>
                            </w:r>
                            <w:r w:rsidR="0065482E">
                              <w:br/>
                            </w:r>
                            <w:r w:rsidRPr="000B0433">
                              <w:t xml:space="preserve">Video- oder Telefonkonferenz durchzuführen, bedarf aber besonderer Sicherheitsvorkehrungen. Denn in BEM-Gesprächen werden sensible Gesundheitsdaten des einzelnen Beschäftigten verarbeitet, wie z. B. </w:t>
                            </w:r>
                          </w:p>
                          <w:p w14:paraId="27B1138B" w14:textId="39F85B81" w:rsidR="000B0433" w:rsidRPr="000B0433" w:rsidRDefault="000B0433" w:rsidP="0065482E">
                            <w:pPr>
                              <w:pStyle w:val="KeinLeerraum"/>
                              <w:numPr>
                                <w:ilvl w:val="0"/>
                                <w:numId w:val="22"/>
                              </w:numPr>
                              <w:spacing w:after="60"/>
                              <w:ind w:left="426" w:hanging="284"/>
                            </w:pPr>
                            <w:r w:rsidRPr="000B0433">
                              <w:t xml:space="preserve">individuelle Erkrankungen, </w:t>
                            </w:r>
                          </w:p>
                          <w:p w14:paraId="4F47873F" w14:textId="07DB46D9" w:rsidR="000B0433" w:rsidRPr="000B0433" w:rsidRDefault="000B0433" w:rsidP="0065482E">
                            <w:pPr>
                              <w:pStyle w:val="KeinLeerraum"/>
                              <w:numPr>
                                <w:ilvl w:val="0"/>
                                <w:numId w:val="22"/>
                              </w:numPr>
                              <w:spacing w:after="60"/>
                              <w:ind w:left="426" w:hanging="284"/>
                            </w:pPr>
                            <w:r w:rsidRPr="000B0433">
                              <w:t xml:space="preserve">Leistungsminderungen, </w:t>
                            </w:r>
                          </w:p>
                          <w:p w14:paraId="061C6E3B" w14:textId="0239A44A" w:rsidR="000B0433" w:rsidRPr="000B0433" w:rsidRDefault="000B0433" w:rsidP="0065482E">
                            <w:pPr>
                              <w:pStyle w:val="KeinLeerraum"/>
                              <w:numPr>
                                <w:ilvl w:val="0"/>
                                <w:numId w:val="22"/>
                              </w:numPr>
                              <w:spacing w:after="60"/>
                              <w:ind w:left="426" w:hanging="284"/>
                            </w:pPr>
                            <w:r w:rsidRPr="000B0433">
                              <w:t xml:space="preserve">Arbeitsunfähigkeitszeiten oder </w:t>
                            </w:r>
                          </w:p>
                          <w:p w14:paraId="0BBD87F5" w14:textId="786059DC" w:rsidR="000B0433" w:rsidRDefault="000B0433" w:rsidP="0065482E">
                            <w:pPr>
                              <w:pStyle w:val="KeinLeerraum"/>
                              <w:numPr>
                                <w:ilvl w:val="0"/>
                                <w:numId w:val="22"/>
                              </w:numPr>
                              <w:spacing w:after="60"/>
                              <w:ind w:left="426" w:hanging="284"/>
                            </w:pPr>
                            <w:r w:rsidRPr="000B0433">
                              <w:t>notwendige Unterstützungsmaßnahmen für die Wiedereingliederung am Arbeitsplatz.</w:t>
                            </w:r>
                          </w:p>
                          <w:p w14:paraId="0CBA5132" w14:textId="77777777" w:rsidR="000B0433" w:rsidRPr="000B0433" w:rsidRDefault="000B0433" w:rsidP="0065482E">
                            <w:pPr>
                              <w:pStyle w:val="KeinLeerraum"/>
                              <w:spacing w:after="60"/>
                            </w:pPr>
                          </w:p>
                          <w:p w14:paraId="0115702A" w14:textId="2AA3F01D" w:rsidR="000B0433" w:rsidRPr="000B0433" w:rsidRDefault="000B0433" w:rsidP="0065482E">
                            <w:pPr>
                              <w:spacing w:after="60" w:line="240" w:lineRule="auto"/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0433"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  <w:t xml:space="preserve">Wann ist das BEM mittels Videokonferenz </w:t>
                            </w:r>
                            <w:r w:rsidR="0065482E"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0B0433"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  <w:t>unbedenklich?</w:t>
                            </w:r>
                          </w:p>
                          <w:p w14:paraId="2E7CAA8A" w14:textId="535FDD56" w:rsidR="000B0433" w:rsidRPr="000B0433" w:rsidRDefault="000B0433" w:rsidP="0065482E">
                            <w:pPr>
                              <w:pStyle w:val="KeinLeerraum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426" w:hanging="284"/>
                            </w:pPr>
                            <w:r w:rsidRPr="000B0433">
                              <w:t xml:space="preserve">Transparente Vorkehrungen für die Datensicherheit gewährleisten die Vertraulichkeit des </w:t>
                            </w:r>
                            <w:r w:rsidR="0065482E">
                              <w:br/>
                            </w:r>
                            <w:r w:rsidRPr="000B0433">
                              <w:t>Gesprächs.</w:t>
                            </w:r>
                          </w:p>
                          <w:p w14:paraId="7FA73B35" w14:textId="4EE5650F" w:rsidR="000B0433" w:rsidRPr="000B0433" w:rsidRDefault="000B0433" w:rsidP="0065482E">
                            <w:pPr>
                              <w:pStyle w:val="KeinLeerraum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426" w:hanging="284"/>
                            </w:pPr>
                            <w:r w:rsidRPr="000B0433">
                              <w:t>Die BEM-Gesprächspartner sind allein an ihrem betrieblichen Arbeitsplatz.</w:t>
                            </w:r>
                          </w:p>
                          <w:p w14:paraId="4D976C1B" w14:textId="24F8301D" w:rsidR="000B0433" w:rsidRPr="000B0433" w:rsidRDefault="000B0433" w:rsidP="0065482E">
                            <w:pPr>
                              <w:pStyle w:val="KeinLeerraum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426" w:hanging="284"/>
                            </w:pPr>
                            <w:r w:rsidRPr="000B0433">
                              <w:t>Der betroffene Beschäftigte ist bereits vertraut mit virtueller Kommunikation.</w:t>
                            </w:r>
                          </w:p>
                          <w:p w14:paraId="451B362E" w14:textId="1FBB0961" w:rsidR="000B0433" w:rsidRDefault="000B0433" w:rsidP="0065482E">
                            <w:pPr>
                              <w:pStyle w:val="KeinLeerraum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426" w:hanging="284"/>
                            </w:pPr>
                            <w:r w:rsidRPr="000B0433">
                              <w:t xml:space="preserve">Eine technische Aufzeichnung des Gesprächs </w:t>
                            </w:r>
                            <w:r w:rsidR="0065482E">
                              <w:br/>
                            </w:r>
                            <w:r w:rsidRPr="000B0433">
                              <w:t xml:space="preserve">findet nicht statt. </w:t>
                            </w:r>
                          </w:p>
                          <w:p w14:paraId="3CABEBB1" w14:textId="77777777" w:rsidR="000B0433" w:rsidRPr="000B0433" w:rsidRDefault="000B0433" w:rsidP="0065482E">
                            <w:pPr>
                              <w:pStyle w:val="KeinLeerraum"/>
                              <w:spacing w:after="60"/>
                            </w:pPr>
                          </w:p>
                          <w:p w14:paraId="3FFA4B8B" w14:textId="77777777" w:rsidR="000B0433" w:rsidRPr="000B0433" w:rsidRDefault="000B0433" w:rsidP="0065482E">
                            <w:pPr>
                              <w:spacing w:after="60" w:line="240" w:lineRule="auto"/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0433">
                              <w:rPr>
                                <w:rFonts w:ascii="Calibri Light" w:eastAsia="Times New Roman" w:hAnsi="Calibri Light"/>
                                <w:b/>
                                <w:bCs/>
                                <w:color w:val="BF4742"/>
                                <w:sz w:val="24"/>
                                <w:szCs w:val="24"/>
                                <w:u w:val="single"/>
                              </w:rPr>
                              <w:t>Also kann BEM mittels Videokonferenz empfohlen werden?</w:t>
                            </w:r>
                          </w:p>
                          <w:p w14:paraId="4457454D" w14:textId="4DE6CF1A" w:rsidR="000B0433" w:rsidRDefault="000B0433" w:rsidP="0065482E">
                            <w:pPr>
                              <w:pStyle w:val="KeinLeerraum"/>
                              <w:spacing w:after="60"/>
                            </w:pPr>
                            <w:r w:rsidRPr="000B0433">
                              <w:t xml:space="preserve">Nein! Die Qualität der Kommunikation ist in der Regel schlechter als beim persönlichen Gespräch am runden Tisch </w:t>
                            </w:r>
                            <w:r w:rsidR="0065482E">
                              <w:t>in der Dienststelle</w:t>
                            </w:r>
                            <w:r w:rsidRPr="000B0433">
                              <w:t xml:space="preserve">. Für viele Beschäftigte stellt die Videokonferenz einen zusätzlichen Stressfaktor dar. Zudem ist die Hinzuziehung einer Vertrauensperson schwieriger und eine kurze Abstimmung mit ihr im Gespräch fast unmöglich. </w:t>
                            </w:r>
                          </w:p>
                          <w:p w14:paraId="2480891C" w14:textId="77777777" w:rsidR="000B0433" w:rsidRDefault="000B0433" w:rsidP="0065482E">
                            <w:pPr>
                              <w:pStyle w:val="KeinLeerraum"/>
                              <w:spacing w:after="60"/>
                            </w:pPr>
                          </w:p>
                          <w:p w14:paraId="3865A7D2" w14:textId="77777777" w:rsidR="000B0433" w:rsidRDefault="000B0433" w:rsidP="0065482E">
                            <w:pPr>
                              <w:pStyle w:val="KeinLeerraum"/>
                              <w:spacing w:after="60"/>
                            </w:pPr>
                          </w:p>
                          <w:p w14:paraId="563C8CFE" w14:textId="2064C6AF" w:rsidR="004218EA" w:rsidRPr="00BF70F7" w:rsidRDefault="00BF70F7" w:rsidP="0065482E">
                            <w:pPr>
                              <w:pStyle w:val="KeinLeerraum"/>
                              <w:spacing w:after="60"/>
                              <w:rPr>
                                <w:b/>
                                <w:bCs/>
                              </w:rPr>
                            </w:pPr>
                            <w:r w:rsidRPr="00BF70F7">
                              <w:rPr>
                                <w:b/>
                                <w:bCs/>
                              </w:rPr>
                              <w:t xml:space="preserve">Der </w:t>
                            </w:r>
                            <w:r w:rsidR="0065482E">
                              <w:rPr>
                                <w:b/>
                                <w:bCs/>
                              </w:rPr>
                              <w:t>Personalrat</w:t>
                            </w:r>
                            <w:r w:rsidR="000B0433" w:rsidRPr="00BF70F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DD4458" w14:textId="77777777" w:rsidR="00290535" w:rsidRPr="00005373" w:rsidRDefault="00290535" w:rsidP="0065482E">
                            <w:pPr>
                              <w:spacing w:after="6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7.1pt;margin-top:27.45pt;width:255pt;height:56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" filled="f" stroked="f">
                <v:textbox style="mso-next-textbox:#_x0000_s1027">
                  <w:txbxContent>
                    <w:p w14:paraId="2547E1CD" w14:textId="6F7DCF7A" w:rsidR="005E177D" w:rsidRPr="000B0433" w:rsidRDefault="000B0433" w:rsidP="0065482E">
                      <w:pPr>
                        <w:pStyle w:val="berschrift1"/>
                        <w:spacing w:before="0" w:after="60" w:line="240" w:lineRule="auto"/>
                        <w:contextualSpacing/>
                        <w:rPr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</w:pPr>
                      <w:r w:rsidRPr="000B0433">
                        <w:rPr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  <w:t>Was bedeutet BEM?</w:t>
                      </w:r>
                    </w:p>
                    <w:p w14:paraId="0D38CECF" w14:textId="77777777" w:rsidR="000B0433" w:rsidRDefault="000B0433" w:rsidP="0065482E">
                      <w:pPr>
                        <w:spacing w:after="60" w:line="240" w:lineRule="auto"/>
                      </w:pPr>
                      <w:r w:rsidRPr="000B0433">
                        <w:t>Das Betriebliche Eingliederungsmanagement (BEM) verpflichtet den Arbeitgeber mit jedem Arbeitnehmer, der länger als 6 Wochen zusammenhängend oder wiederholt innerhalb eines Jahres arbeitsunfähig erkrankt ist, ein Gespräch zur Wiedereingliederung in die Arbeit zu führen. (Grundlage im Sozialgesetzbuch IX § 167 Absatz 2)</w:t>
                      </w:r>
                    </w:p>
                    <w:p w14:paraId="5410C17B" w14:textId="77777777" w:rsidR="000B0433" w:rsidRDefault="000B0433" w:rsidP="0065482E">
                      <w:pPr>
                        <w:spacing w:after="60" w:line="240" w:lineRule="auto"/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</w:pPr>
                    </w:p>
                    <w:p w14:paraId="0BE9DC8C" w14:textId="7FF423DD" w:rsidR="000B0433" w:rsidRPr="000B0433" w:rsidRDefault="000B0433" w:rsidP="0065482E">
                      <w:pPr>
                        <w:spacing w:after="60" w:line="240" w:lineRule="auto"/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</w:pPr>
                      <w:r w:rsidRPr="000B0433"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  <w:t>Was ist neu am BEM?</w:t>
                      </w:r>
                    </w:p>
                    <w:p w14:paraId="25BEA5F3" w14:textId="1C627DCA" w:rsidR="000B0433" w:rsidRDefault="000B0433" w:rsidP="0065482E">
                      <w:pPr>
                        <w:pStyle w:val="KeinLeerraum"/>
                        <w:spacing w:after="60"/>
                      </w:pPr>
                      <w:r w:rsidRPr="000B0433">
                        <w:t>Mit dem</w:t>
                      </w:r>
                      <w:r w:rsidR="00C71719">
                        <w:t xml:space="preserve"> </w:t>
                      </w:r>
                      <w:r w:rsidRPr="000B0433">
                        <w:t xml:space="preserve">Teilhabestärkungsgesetz vom 02.06.2021 wurde das SGB IX ergänzt: „Beschäftigte können eine Vertrauensperson eigener Wahl hinzuziehen.“  Das kann – wie bisher – ein Mitglied des </w:t>
                      </w:r>
                      <w:r w:rsidR="0065482E">
                        <w:t>Personalrat</w:t>
                      </w:r>
                      <w:r w:rsidRPr="000B0433">
                        <w:t>s sein, aber auch ein Arbeitskollege oder eine betriebsfremde Person sein, z. B. ein Familienangehöriger, guter Freund oder Rechtsanwalt.</w:t>
                      </w:r>
                    </w:p>
                    <w:p w14:paraId="03AC3F13" w14:textId="77777777" w:rsidR="000B0433" w:rsidRPr="000B0433" w:rsidRDefault="000B0433" w:rsidP="0065482E">
                      <w:pPr>
                        <w:pStyle w:val="KeinLeerraum"/>
                        <w:spacing w:after="60"/>
                      </w:pPr>
                    </w:p>
                    <w:p w14:paraId="1DF132DF" w14:textId="77777777" w:rsidR="000B0433" w:rsidRPr="000B0433" w:rsidRDefault="000B0433" w:rsidP="0065482E">
                      <w:pPr>
                        <w:spacing w:after="60" w:line="240" w:lineRule="auto"/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</w:pPr>
                      <w:r w:rsidRPr="000B0433"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  <w:t>Ich möchte eine Person meines Vertrauens hinzuziehen. Was muss ich beachten?</w:t>
                      </w:r>
                    </w:p>
                    <w:p w14:paraId="49395573" w14:textId="27D5A12E" w:rsidR="000B0433" w:rsidRDefault="000B0433" w:rsidP="0065482E">
                      <w:pPr>
                        <w:pStyle w:val="KeinLeerraum"/>
                        <w:spacing w:after="60"/>
                      </w:pPr>
                      <w:r w:rsidRPr="000B0433">
                        <w:t>Der Beschäftigte muss die Vertrauensstellung der hinzugezogenen Person z.</w:t>
                      </w:r>
                      <w:r w:rsidR="009129D0">
                        <w:t xml:space="preserve"> </w:t>
                      </w:r>
                      <w:r w:rsidRPr="000B0433">
                        <w:t>B. durch eine Vollmacht nachweisen. Der Vertrauensperson sind dann alle im Verfahren vorhandenen Unterlagen ebenfalls auszuhändigen. Sonst kann sie ihrer Aufgabe nicht gerecht werden.</w:t>
                      </w:r>
                    </w:p>
                    <w:p w14:paraId="4F1E4112" w14:textId="77777777" w:rsidR="000B0433" w:rsidRPr="000B0433" w:rsidRDefault="000B0433" w:rsidP="0065482E">
                      <w:pPr>
                        <w:pStyle w:val="KeinLeerraum"/>
                        <w:spacing w:after="60"/>
                      </w:pPr>
                    </w:p>
                    <w:p w14:paraId="378FFEB6" w14:textId="77777777" w:rsidR="000B0433" w:rsidRPr="000B0433" w:rsidRDefault="000B0433" w:rsidP="0065482E">
                      <w:pPr>
                        <w:spacing w:after="60" w:line="240" w:lineRule="auto"/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</w:pPr>
                      <w:r w:rsidRPr="000B0433"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  <w:t>Was ist, wenn durch die Hinzuziehung der Vertrauensperson Kosten entstehen: Wer trägt diese?</w:t>
                      </w:r>
                    </w:p>
                    <w:p w14:paraId="2A2B4F1B" w14:textId="5B3BFFEA" w:rsidR="000B0433" w:rsidRDefault="000B0433" w:rsidP="0065482E">
                      <w:pPr>
                        <w:pStyle w:val="KeinLeerraum"/>
                        <w:spacing w:after="60"/>
                      </w:pPr>
                      <w:r w:rsidRPr="000B0433">
                        <w:t xml:space="preserve">Für die Hinzuziehung einer Vertrauensperson eventuell entstehende Kosten trägt der Arbeitnehmer. </w:t>
                      </w:r>
                      <w:r w:rsidR="009129D0">
                        <w:br/>
                      </w:r>
                      <w:r w:rsidRPr="000B0433">
                        <w:t>Besitzen Sie eine Rechtschutzversicherung, lohnt es sich zu prüfen, ob die Unterstützung beim BEM mit abgedeckt ist.</w:t>
                      </w:r>
                    </w:p>
                    <w:p w14:paraId="319DA78B" w14:textId="77777777" w:rsidR="000B0433" w:rsidRPr="000B0433" w:rsidRDefault="000B0433" w:rsidP="0065482E">
                      <w:pPr>
                        <w:pStyle w:val="KeinLeerraum"/>
                        <w:spacing w:after="60"/>
                      </w:pPr>
                    </w:p>
                    <w:p w14:paraId="7A7C0435" w14:textId="77777777" w:rsidR="000B0433" w:rsidRDefault="000B0433" w:rsidP="0065482E">
                      <w:pPr>
                        <w:spacing w:after="60" w:line="240" w:lineRule="auto"/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</w:pPr>
                    </w:p>
                    <w:p w14:paraId="5A86811E" w14:textId="21DB709D" w:rsidR="000B0433" w:rsidRPr="000B0433" w:rsidRDefault="000B0433" w:rsidP="0065482E">
                      <w:pPr>
                        <w:spacing w:after="60" w:line="240" w:lineRule="auto"/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</w:pPr>
                      <w:r w:rsidRPr="000B0433"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  <w:t>Darf das BEM auch online durchgeführt werden?</w:t>
                      </w:r>
                    </w:p>
                    <w:p w14:paraId="75145295" w14:textId="5526FA5E" w:rsidR="000B0433" w:rsidRPr="000B0433" w:rsidRDefault="000B0433" w:rsidP="0065482E">
                      <w:pPr>
                        <w:pStyle w:val="KeinLeerraum"/>
                        <w:spacing w:after="60"/>
                      </w:pPr>
                      <w:r w:rsidRPr="000B0433">
                        <w:t xml:space="preserve">Es ist grundsätzlich möglich, dass BEM auch mittels </w:t>
                      </w:r>
                      <w:r w:rsidR="0065482E">
                        <w:br/>
                      </w:r>
                      <w:r w:rsidRPr="000B0433">
                        <w:t xml:space="preserve">Video- oder Telefonkonferenz durchzuführen, bedarf aber besonderer Sicherheitsvorkehrungen. Denn in BEM-Gesprächen werden sensible Gesundheitsdaten des einzelnen Beschäftigten verarbeitet, wie z. B. </w:t>
                      </w:r>
                    </w:p>
                    <w:p w14:paraId="27B1138B" w14:textId="39F85B81" w:rsidR="000B0433" w:rsidRPr="000B0433" w:rsidRDefault="000B0433" w:rsidP="0065482E">
                      <w:pPr>
                        <w:pStyle w:val="KeinLeerraum"/>
                        <w:numPr>
                          <w:ilvl w:val="0"/>
                          <w:numId w:val="22"/>
                        </w:numPr>
                        <w:spacing w:after="60"/>
                        <w:ind w:left="426" w:hanging="284"/>
                      </w:pPr>
                      <w:r w:rsidRPr="000B0433">
                        <w:t xml:space="preserve">individuelle Erkrankungen, </w:t>
                      </w:r>
                    </w:p>
                    <w:p w14:paraId="4F47873F" w14:textId="07DB46D9" w:rsidR="000B0433" w:rsidRPr="000B0433" w:rsidRDefault="000B0433" w:rsidP="0065482E">
                      <w:pPr>
                        <w:pStyle w:val="KeinLeerraum"/>
                        <w:numPr>
                          <w:ilvl w:val="0"/>
                          <w:numId w:val="22"/>
                        </w:numPr>
                        <w:spacing w:after="60"/>
                        <w:ind w:left="426" w:hanging="284"/>
                      </w:pPr>
                      <w:r w:rsidRPr="000B0433">
                        <w:t xml:space="preserve">Leistungsminderungen, </w:t>
                      </w:r>
                    </w:p>
                    <w:p w14:paraId="061C6E3B" w14:textId="0239A44A" w:rsidR="000B0433" w:rsidRPr="000B0433" w:rsidRDefault="000B0433" w:rsidP="0065482E">
                      <w:pPr>
                        <w:pStyle w:val="KeinLeerraum"/>
                        <w:numPr>
                          <w:ilvl w:val="0"/>
                          <w:numId w:val="22"/>
                        </w:numPr>
                        <w:spacing w:after="60"/>
                        <w:ind w:left="426" w:hanging="284"/>
                      </w:pPr>
                      <w:r w:rsidRPr="000B0433">
                        <w:t xml:space="preserve">Arbeitsunfähigkeitszeiten oder </w:t>
                      </w:r>
                    </w:p>
                    <w:p w14:paraId="0BBD87F5" w14:textId="786059DC" w:rsidR="000B0433" w:rsidRDefault="000B0433" w:rsidP="0065482E">
                      <w:pPr>
                        <w:pStyle w:val="KeinLeerraum"/>
                        <w:numPr>
                          <w:ilvl w:val="0"/>
                          <w:numId w:val="22"/>
                        </w:numPr>
                        <w:spacing w:after="60"/>
                        <w:ind w:left="426" w:hanging="284"/>
                      </w:pPr>
                      <w:r w:rsidRPr="000B0433">
                        <w:t>notwendige Unterstützungsmaßnahmen für die Wiedereingliederung am Arbeitsplatz.</w:t>
                      </w:r>
                    </w:p>
                    <w:p w14:paraId="0CBA5132" w14:textId="77777777" w:rsidR="000B0433" w:rsidRPr="000B0433" w:rsidRDefault="000B0433" w:rsidP="0065482E">
                      <w:pPr>
                        <w:pStyle w:val="KeinLeerraum"/>
                        <w:spacing w:after="60"/>
                      </w:pPr>
                    </w:p>
                    <w:p w14:paraId="0115702A" w14:textId="2AA3F01D" w:rsidR="000B0433" w:rsidRPr="000B0433" w:rsidRDefault="000B0433" w:rsidP="0065482E">
                      <w:pPr>
                        <w:spacing w:after="60" w:line="240" w:lineRule="auto"/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</w:pPr>
                      <w:r w:rsidRPr="000B0433"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  <w:t xml:space="preserve">Wann ist das BEM mittels Videokonferenz </w:t>
                      </w:r>
                      <w:r w:rsidR="0065482E"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  <w:br/>
                      </w:r>
                      <w:r w:rsidRPr="000B0433"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  <w:t>unbedenklich?</w:t>
                      </w:r>
                    </w:p>
                    <w:p w14:paraId="2E7CAA8A" w14:textId="535FDD56" w:rsidR="000B0433" w:rsidRPr="000B0433" w:rsidRDefault="000B0433" w:rsidP="0065482E">
                      <w:pPr>
                        <w:pStyle w:val="KeinLeerraum"/>
                        <w:numPr>
                          <w:ilvl w:val="0"/>
                          <w:numId w:val="26"/>
                        </w:numPr>
                        <w:spacing w:after="60"/>
                        <w:ind w:left="426" w:hanging="284"/>
                      </w:pPr>
                      <w:r w:rsidRPr="000B0433">
                        <w:t xml:space="preserve">Transparente Vorkehrungen für die Datensicherheit gewährleisten die Vertraulichkeit des </w:t>
                      </w:r>
                      <w:r w:rsidR="0065482E">
                        <w:br/>
                      </w:r>
                      <w:r w:rsidRPr="000B0433">
                        <w:t>Gesprächs.</w:t>
                      </w:r>
                    </w:p>
                    <w:p w14:paraId="7FA73B35" w14:textId="4EE5650F" w:rsidR="000B0433" w:rsidRPr="000B0433" w:rsidRDefault="000B0433" w:rsidP="0065482E">
                      <w:pPr>
                        <w:pStyle w:val="KeinLeerraum"/>
                        <w:numPr>
                          <w:ilvl w:val="0"/>
                          <w:numId w:val="26"/>
                        </w:numPr>
                        <w:spacing w:after="60"/>
                        <w:ind w:left="426" w:hanging="284"/>
                      </w:pPr>
                      <w:r w:rsidRPr="000B0433">
                        <w:t>Die BEM-Gesprächspartner sind allein an ihrem betrieblichen Arbeitsplatz.</w:t>
                      </w:r>
                    </w:p>
                    <w:p w14:paraId="4D976C1B" w14:textId="24F8301D" w:rsidR="000B0433" w:rsidRPr="000B0433" w:rsidRDefault="000B0433" w:rsidP="0065482E">
                      <w:pPr>
                        <w:pStyle w:val="KeinLeerraum"/>
                        <w:numPr>
                          <w:ilvl w:val="0"/>
                          <w:numId w:val="26"/>
                        </w:numPr>
                        <w:spacing w:after="60"/>
                        <w:ind w:left="426" w:hanging="284"/>
                      </w:pPr>
                      <w:r w:rsidRPr="000B0433">
                        <w:t>Der betroffene Beschäftigte ist bereits vertraut mit virtueller Kommunikation.</w:t>
                      </w:r>
                    </w:p>
                    <w:p w14:paraId="451B362E" w14:textId="1FBB0961" w:rsidR="000B0433" w:rsidRDefault="000B0433" w:rsidP="0065482E">
                      <w:pPr>
                        <w:pStyle w:val="KeinLeerraum"/>
                        <w:numPr>
                          <w:ilvl w:val="0"/>
                          <w:numId w:val="26"/>
                        </w:numPr>
                        <w:spacing w:after="60"/>
                        <w:ind w:left="426" w:hanging="284"/>
                      </w:pPr>
                      <w:r w:rsidRPr="000B0433">
                        <w:t xml:space="preserve">Eine technische Aufzeichnung des Gesprächs </w:t>
                      </w:r>
                      <w:r w:rsidR="0065482E">
                        <w:br/>
                      </w:r>
                      <w:r w:rsidRPr="000B0433">
                        <w:t xml:space="preserve">findet nicht statt. </w:t>
                      </w:r>
                    </w:p>
                    <w:p w14:paraId="3CABEBB1" w14:textId="77777777" w:rsidR="000B0433" w:rsidRPr="000B0433" w:rsidRDefault="000B0433" w:rsidP="0065482E">
                      <w:pPr>
                        <w:pStyle w:val="KeinLeerraum"/>
                        <w:spacing w:after="60"/>
                      </w:pPr>
                    </w:p>
                    <w:p w14:paraId="3FFA4B8B" w14:textId="77777777" w:rsidR="000B0433" w:rsidRPr="000B0433" w:rsidRDefault="000B0433" w:rsidP="0065482E">
                      <w:pPr>
                        <w:spacing w:after="60" w:line="240" w:lineRule="auto"/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</w:pPr>
                      <w:r w:rsidRPr="000B0433">
                        <w:rPr>
                          <w:rFonts w:ascii="Calibri Light" w:eastAsia="Times New Roman" w:hAnsi="Calibri Light"/>
                          <w:b/>
                          <w:bCs/>
                          <w:color w:val="BF4742"/>
                          <w:sz w:val="24"/>
                          <w:szCs w:val="24"/>
                          <w:u w:val="single"/>
                        </w:rPr>
                        <w:t>Also kann BEM mittels Videokonferenz empfohlen werden?</w:t>
                      </w:r>
                    </w:p>
                    <w:p w14:paraId="4457454D" w14:textId="4DE6CF1A" w:rsidR="000B0433" w:rsidRDefault="000B0433" w:rsidP="0065482E">
                      <w:pPr>
                        <w:pStyle w:val="KeinLeerraum"/>
                        <w:spacing w:after="60"/>
                      </w:pPr>
                      <w:r w:rsidRPr="000B0433">
                        <w:t xml:space="preserve">Nein! Die Qualität der Kommunikation ist in der Regel schlechter als beim persönlichen Gespräch am runden Tisch </w:t>
                      </w:r>
                      <w:r w:rsidR="0065482E">
                        <w:t>in der Dienststelle</w:t>
                      </w:r>
                      <w:r w:rsidRPr="000B0433">
                        <w:t xml:space="preserve">. Für viele Beschäftigte stellt die Videokonferenz einen zusätzlichen Stressfaktor dar. Zudem ist die Hinzuziehung einer Vertrauensperson schwieriger und eine kurze Abstimmung mit ihr im Gespräch fast unmöglich. </w:t>
                      </w:r>
                    </w:p>
                    <w:p w14:paraId="2480891C" w14:textId="77777777" w:rsidR="000B0433" w:rsidRDefault="000B0433" w:rsidP="0065482E">
                      <w:pPr>
                        <w:pStyle w:val="KeinLeerraum"/>
                        <w:spacing w:after="60"/>
                      </w:pPr>
                    </w:p>
                    <w:p w14:paraId="3865A7D2" w14:textId="77777777" w:rsidR="000B0433" w:rsidRDefault="000B0433" w:rsidP="0065482E">
                      <w:pPr>
                        <w:pStyle w:val="KeinLeerraum"/>
                        <w:spacing w:after="60"/>
                      </w:pPr>
                    </w:p>
                    <w:p w14:paraId="563C8CFE" w14:textId="2064C6AF" w:rsidR="004218EA" w:rsidRPr="00BF70F7" w:rsidRDefault="00BF70F7" w:rsidP="0065482E">
                      <w:pPr>
                        <w:pStyle w:val="KeinLeerraum"/>
                        <w:spacing w:after="60"/>
                        <w:rPr>
                          <w:b/>
                          <w:bCs/>
                        </w:rPr>
                      </w:pPr>
                      <w:r w:rsidRPr="00BF70F7">
                        <w:rPr>
                          <w:b/>
                          <w:bCs/>
                        </w:rPr>
                        <w:t xml:space="preserve">Der </w:t>
                      </w:r>
                      <w:r w:rsidR="0065482E">
                        <w:rPr>
                          <w:b/>
                          <w:bCs/>
                        </w:rPr>
                        <w:t>Personalrat</w:t>
                      </w:r>
                      <w:r w:rsidR="000B0433" w:rsidRPr="00BF70F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0DD4458" w14:textId="77777777" w:rsidR="00290535" w:rsidRPr="00005373" w:rsidRDefault="00290535" w:rsidP="0065482E">
                      <w:pPr>
                        <w:spacing w:after="6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C12466" wp14:editId="3C95A42F">
                <wp:simplePos x="0" y="0"/>
                <wp:positionH relativeFrom="column">
                  <wp:posOffset>2957830</wp:posOffset>
                </wp:positionH>
                <wp:positionV relativeFrom="paragraph">
                  <wp:posOffset>367665</wp:posOffset>
                </wp:positionV>
                <wp:extent cx="3314700" cy="8125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12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0C12466" id="_x0000_s1027" type="#_x0000_t202" style="position:absolute;left:0;text-align:left;margin-left:232.9pt;margin-top:28.95pt;width:261pt;height:639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" filled="f" stroked="f">
                <v:textbox>
                  <w:txbxContent/>
                </v:textbox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C1558" w14:textId="77777777" w:rsidR="00B73BF6" w:rsidRDefault="00B73BF6" w:rsidP="00D83F96">
      <w:pPr>
        <w:spacing w:after="0" w:line="240" w:lineRule="auto"/>
      </w:pPr>
      <w:r>
        <w:separator/>
      </w:r>
    </w:p>
  </w:endnote>
  <w:endnote w:type="continuationSeparator" w:id="0">
    <w:p w14:paraId="6AF4DF56" w14:textId="77777777" w:rsidR="00B73BF6" w:rsidRDefault="00B73BF6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9F944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36CCAF46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04276EA8" wp14:editId="77CCCABD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CD6C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027E5" w14:textId="77777777" w:rsidR="00B73BF6" w:rsidRDefault="00B73BF6" w:rsidP="00D83F96">
      <w:pPr>
        <w:spacing w:after="0" w:line="240" w:lineRule="auto"/>
      </w:pPr>
      <w:r>
        <w:separator/>
      </w:r>
    </w:p>
  </w:footnote>
  <w:footnote w:type="continuationSeparator" w:id="0">
    <w:p w14:paraId="383F98C1" w14:textId="77777777" w:rsidR="00B73BF6" w:rsidRDefault="00B73BF6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3C407" w14:textId="297A049B" w:rsidR="00967E96" w:rsidRDefault="004218EA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1974FA2A">
          <wp:simplePos x="0" y="0"/>
          <wp:positionH relativeFrom="page">
            <wp:posOffset>-19050</wp:posOffset>
          </wp:positionH>
          <wp:positionV relativeFrom="paragraph">
            <wp:posOffset>-335280</wp:posOffset>
          </wp:positionV>
          <wp:extent cx="7583169" cy="2703032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69" cy="2703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3F790" w14:textId="46CC5F8A" w:rsidR="00967E96" w:rsidRDefault="00967E96" w:rsidP="00D83F96">
    <w:pPr>
      <w:pStyle w:val="Kopfzeile"/>
      <w:rPr>
        <w:noProof/>
        <w:lang w:eastAsia="de-DE"/>
      </w:rPr>
    </w:pPr>
  </w:p>
  <w:p w14:paraId="5278735C" w14:textId="7C7B7339" w:rsidR="008B42B3" w:rsidRDefault="008B42B3" w:rsidP="00D83F96">
    <w:pPr>
      <w:pStyle w:val="Kopfzeile"/>
      <w:rPr>
        <w:noProof/>
        <w:lang w:eastAsia="de-DE"/>
      </w:rPr>
    </w:pP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4073B4"/>
    <w:multiLevelType w:val="hybridMultilevel"/>
    <w:tmpl w:val="24148D76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526DC"/>
    <w:multiLevelType w:val="hybridMultilevel"/>
    <w:tmpl w:val="F04C3728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64594B"/>
    <w:multiLevelType w:val="hybridMultilevel"/>
    <w:tmpl w:val="9A58C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82897"/>
    <w:multiLevelType w:val="hybridMultilevel"/>
    <w:tmpl w:val="B50AC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85C99"/>
    <w:multiLevelType w:val="hybridMultilevel"/>
    <w:tmpl w:val="2C9E348A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3"/>
  </w:num>
  <w:num w:numId="5">
    <w:abstractNumId w:val="2"/>
  </w:num>
  <w:num w:numId="6">
    <w:abstractNumId w:val="25"/>
  </w:num>
  <w:num w:numId="7">
    <w:abstractNumId w:val="21"/>
  </w:num>
  <w:num w:numId="8">
    <w:abstractNumId w:val="16"/>
  </w:num>
  <w:num w:numId="9">
    <w:abstractNumId w:val="13"/>
  </w:num>
  <w:num w:numId="10">
    <w:abstractNumId w:val="11"/>
  </w:num>
  <w:num w:numId="11">
    <w:abstractNumId w:val="23"/>
  </w:num>
  <w:num w:numId="12">
    <w:abstractNumId w:val="9"/>
  </w:num>
  <w:num w:numId="13">
    <w:abstractNumId w:val="22"/>
  </w:num>
  <w:num w:numId="14">
    <w:abstractNumId w:val="14"/>
  </w:num>
  <w:num w:numId="15">
    <w:abstractNumId w:val="18"/>
  </w:num>
  <w:num w:numId="16">
    <w:abstractNumId w:val="8"/>
  </w:num>
  <w:num w:numId="17">
    <w:abstractNumId w:val="24"/>
  </w:num>
  <w:num w:numId="18">
    <w:abstractNumId w:val="6"/>
  </w:num>
  <w:num w:numId="19">
    <w:abstractNumId w:val="20"/>
  </w:num>
  <w:num w:numId="20">
    <w:abstractNumId w:val="4"/>
  </w:num>
  <w:num w:numId="21">
    <w:abstractNumId w:val="17"/>
  </w:num>
  <w:num w:numId="22">
    <w:abstractNumId w:val="10"/>
  </w:num>
  <w:num w:numId="23">
    <w:abstractNumId w:val="12"/>
  </w:num>
  <w:num w:numId="24">
    <w:abstractNumId w:val="5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onsecutiveHyphenLimit w:val="2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B0433"/>
    <w:rsid w:val="000E695B"/>
    <w:rsid w:val="001355FC"/>
    <w:rsid w:val="00150643"/>
    <w:rsid w:val="001953F5"/>
    <w:rsid w:val="001A4DC0"/>
    <w:rsid w:val="001A5D40"/>
    <w:rsid w:val="001D32A8"/>
    <w:rsid w:val="001E760E"/>
    <w:rsid w:val="0020794D"/>
    <w:rsid w:val="00246129"/>
    <w:rsid w:val="00290535"/>
    <w:rsid w:val="002B77C3"/>
    <w:rsid w:val="00302DCA"/>
    <w:rsid w:val="00331CA3"/>
    <w:rsid w:val="00391FE9"/>
    <w:rsid w:val="003962C2"/>
    <w:rsid w:val="003A326A"/>
    <w:rsid w:val="003C0793"/>
    <w:rsid w:val="003C3398"/>
    <w:rsid w:val="0041151E"/>
    <w:rsid w:val="004218EA"/>
    <w:rsid w:val="004937FE"/>
    <w:rsid w:val="004B5E53"/>
    <w:rsid w:val="004C0B92"/>
    <w:rsid w:val="0053398B"/>
    <w:rsid w:val="0054246A"/>
    <w:rsid w:val="00551B89"/>
    <w:rsid w:val="00563BDC"/>
    <w:rsid w:val="0057226F"/>
    <w:rsid w:val="0058042A"/>
    <w:rsid w:val="00593352"/>
    <w:rsid w:val="005B4FBE"/>
    <w:rsid w:val="005B7B44"/>
    <w:rsid w:val="005E177D"/>
    <w:rsid w:val="005F4C95"/>
    <w:rsid w:val="0065482E"/>
    <w:rsid w:val="00680E8D"/>
    <w:rsid w:val="00681F70"/>
    <w:rsid w:val="006B4980"/>
    <w:rsid w:val="006B6DB0"/>
    <w:rsid w:val="006E7CB7"/>
    <w:rsid w:val="00794419"/>
    <w:rsid w:val="0079690A"/>
    <w:rsid w:val="007C2DEC"/>
    <w:rsid w:val="00863F7C"/>
    <w:rsid w:val="00870FDD"/>
    <w:rsid w:val="0088093D"/>
    <w:rsid w:val="008B42B3"/>
    <w:rsid w:val="008B7CCA"/>
    <w:rsid w:val="008C0FB7"/>
    <w:rsid w:val="008E1233"/>
    <w:rsid w:val="00905849"/>
    <w:rsid w:val="009129D0"/>
    <w:rsid w:val="00967E96"/>
    <w:rsid w:val="00981D81"/>
    <w:rsid w:val="009B3708"/>
    <w:rsid w:val="009F5AA8"/>
    <w:rsid w:val="00A30DEA"/>
    <w:rsid w:val="00A62D8E"/>
    <w:rsid w:val="00A95FB3"/>
    <w:rsid w:val="00AC2BCC"/>
    <w:rsid w:val="00AD12CB"/>
    <w:rsid w:val="00B00D8A"/>
    <w:rsid w:val="00B04530"/>
    <w:rsid w:val="00B1642B"/>
    <w:rsid w:val="00B255A5"/>
    <w:rsid w:val="00B45F27"/>
    <w:rsid w:val="00B60BBE"/>
    <w:rsid w:val="00B73BF6"/>
    <w:rsid w:val="00B74F13"/>
    <w:rsid w:val="00B9406B"/>
    <w:rsid w:val="00BB529A"/>
    <w:rsid w:val="00BF70F7"/>
    <w:rsid w:val="00C31480"/>
    <w:rsid w:val="00C33B9C"/>
    <w:rsid w:val="00C52620"/>
    <w:rsid w:val="00C63328"/>
    <w:rsid w:val="00C64BD4"/>
    <w:rsid w:val="00C71719"/>
    <w:rsid w:val="00CA727D"/>
    <w:rsid w:val="00CD4231"/>
    <w:rsid w:val="00CF2E98"/>
    <w:rsid w:val="00D22709"/>
    <w:rsid w:val="00D83F96"/>
    <w:rsid w:val="00DC7205"/>
    <w:rsid w:val="00E56E59"/>
    <w:rsid w:val="00EC0D71"/>
    <w:rsid w:val="00EF68A2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4</cp:revision>
  <cp:lastPrinted>2021-07-12T06:35:00Z</cp:lastPrinted>
  <dcterms:created xsi:type="dcterms:W3CDTF">2021-07-08T12:40:00Z</dcterms:created>
  <dcterms:modified xsi:type="dcterms:W3CDTF">2021-07-12T06:35:00Z</dcterms:modified>
</cp:coreProperties>
</file>