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80D" w:rsidRDefault="00A63E31">
      <w:r>
        <w:rPr>
          <w:noProof/>
        </w:rPr>
        <mc:AlternateContent>
          <mc:Choice Requires="wps">
            <w:drawing>
              <wp:anchor distT="45720" distB="45720" distL="114300" distR="114300" simplePos="0" relativeHeight="251661312" behindDoc="1" locked="0" layoutInCell="1" allowOverlap="1" wp14:anchorId="5C4149EA" wp14:editId="4FBD7325">
                <wp:simplePos x="0" y="0"/>
                <wp:positionH relativeFrom="column">
                  <wp:posOffset>3014980</wp:posOffset>
                </wp:positionH>
                <wp:positionV relativeFrom="paragraph">
                  <wp:posOffset>2433955</wp:posOffset>
                </wp:positionV>
                <wp:extent cx="3200400" cy="74295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42950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149EA" id="_x0000_t202" coordsize="21600,21600" o:spt="202" path="m,l,21600r21600,l21600,xe">
                <v:stroke joinstyle="miter"/>
                <v:path gradientshapeok="t" o:connecttype="rect"/>
              </v:shapetype>
              <v:shape id="Textfeld 2" o:spid="_x0000_s1026" type="#_x0000_t202" style="position:absolute;margin-left:237.4pt;margin-top:191.65pt;width:252pt;height:5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" filled="f" stroked="f">
                <v:textbox>
                  <w:txbxContent/>
                </v:textbox>
              </v:shape>
            </w:pict>
          </mc:Fallback>
        </mc:AlternateContent>
      </w:r>
      <w:r>
        <w:rPr>
          <w:noProof/>
        </w:rPr>
        <mc:AlternateContent>
          <mc:Choice Requires="wps">
            <w:drawing>
              <wp:anchor distT="45720" distB="45720" distL="114300" distR="114300" simplePos="0" relativeHeight="251659264" behindDoc="1" locked="0" layoutInCell="1" allowOverlap="1">
                <wp:simplePos x="0" y="0"/>
                <wp:positionH relativeFrom="column">
                  <wp:posOffset>-299720</wp:posOffset>
                </wp:positionH>
                <wp:positionV relativeFrom="paragraph">
                  <wp:posOffset>2424430</wp:posOffset>
                </wp:positionV>
                <wp:extent cx="3114675" cy="67722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772275"/>
                        </a:xfrm>
                        <a:prstGeom prst="rect">
                          <a:avLst/>
                        </a:prstGeom>
                        <a:noFill/>
                        <a:ln w="9525">
                          <a:noFill/>
                          <a:miter lim="800000"/>
                          <a:headEnd/>
                          <a:tailEnd/>
                        </a:ln>
                      </wps:spPr>
                      <wps:txbx id="1">
                        <w:txbxContent>
                          <w:p w:rsidR="00CF43B7" w:rsidRPr="00A63E31" w:rsidRDefault="00FB2CFB" w:rsidP="00A94014">
                            <w:pPr>
                              <w:spacing w:after="0" w:line="240" w:lineRule="auto"/>
                              <w:jc w:val="both"/>
                              <w:rPr>
                                <w:i/>
                                <w:color w:val="D97933"/>
                              </w:rPr>
                            </w:pPr>
                            <w:r w:rsidRPr="00A63E31">
                              <w:rPr>
                                <w:i/>
                                <w:color w:val="D97933"/>
                              </w:rPr>
                              <w:t>„Darf mich mein Arbeitgeber auf meiner privaten Telefonnummer anrufen?</w:t>
                            </w:r>
                          </w:p>
                          <w:p w:rsidR="00FB2CFB" w:rsidRDefault="00FB2CFB" w:rsidP="00A94014">
                            <w:pPr>
                              <w:spacing w:after="0" w:line="240" w:lineRule="auto"/>
                              <w:jc w:val="both"/>
                              <w:rPr>
                                <w:b/>
                                <w:color w:val="000000" w:themeColor="text1"/>
                              </w:rPr>
                            </w:pPr>
                          </w:p>
                          <w:p w:rsidR="00FB2CFB" w:rsidRPr="00A63E31" w:rsidRDefault="00FB2CFB" w:rsidP="00A94014">
                            <w:pPr>
                              <w:spacing w:after="0" w:line="240" w:lineRule="auto"/>
                              <w:jc w:val="both"/>
                              <w:rPr>
                                <w:b/>
                                <w:color w:val="000000" w:themeColor="text1"/>
                              </w:rPr>
                            </w:pPr>
                            <w:r w:rsidRPr="00A63E31">
                              <w:rPr>
                                <w:b/>
                                <w:color w:val="000000" w:themeColor="text1"/>
                              </w:rPr>
                              <w:t xml:space="preserve">Diese Frage beschäftigt deutsche Arbeitsgerichte immer wieder, denn hier sind die Interessen oft gegensätzlich: </w:t>
                            </w:r>
                            <w:r w:rsidR="003025DE">
                              <w:rPr>
                                <w:b/>
                                <w:color w:val="000000" w:themeColor="text1"/>
                              </w:rPr>
                              <w:t xml:space="preserve">einerseits </w:t>
                            </w:r>
                            <w:r w:rsidRPr="00A63E31">
                              <w:rPr>
                                <w:b/>
                                <w:color w:val="000000" w:themeColor="text1"/>
                              </w:rPr>
                              <w:t>Schutz der Privatsphäre un</w:t>
                            </w:r>
                            <w:r w:rsidR="003025DE">
                              <w:rPr>
                                <w:b/>
                                <w:color w:val="000000" w:themeColor="text1"/>
                              </w:rPr>
                              <w:t>d der Freizeit des Arbeitnehmer</w:t>
                            </w:r>
                            <w:r w:rsidR="004E5B26">
                              <w:rPr>
                                <w:b/>
                                <w:color w:val="000000" w:themeColor="text1"/>
                              </w:rPr>
                              <w:t>s</w:t>
                            </w:r>
                            <w:r w:rsidR="003025DE">
                              <w:rPr>
                                <w:b/>
                                <w:color w:val="000000" w:themeColor="text1"/>
                              </w:rPr>
                              <w:t>, andererseits</w:t>
                            </w:r>
                            <w:r w:rsidRPr="00A63E31">
                              <w:rPr>
                                <w:b/>
                                <w:color w:val="000000" w:themeColor="text1"/>
                              </w:rPr>
                              <w:t xml:space="preserve"> Klärung von dienstlichen Fragen bzw. Ruf zur spontanen Dienstübernahme durch den Arbeitgeber. </w:t>
                            </w:r>
                          </w:p>
                          <w:p w:rsidR="00FB2CFB" w:rsidRDefault="00FB2CFB" w:rsidP="00A94014">
                            <w:pPr>
                              <w:spacing w:after="0" w:line="240" w:lineRule="auto"/>
                              <w:jc w:val="both"/>
                              <w:rPr>
                                <w:color w:val="000000" w:themeColor="text1"/>
                              </w:rPr>
                            </w:pPr>
                          </w:p>
                          <w:p w:rsidR="00FB2CFB" w:rsidRPr="00A63E31" w:rsidRDefault="0039219E" w:rsidP="00A63E31">
                            <w:pPr>
                              <w:spacing w:after="0" w:line="240" w:lineRule="auto"/>
                              <w:rPr>
                                <w:b/>
                                <w:color w:val="000000" w:themeColor="text1"/>
                                <w:sz w:val="30"/>
                                <w:szCs w:val="30"/>
                              </w:rPr>
                            </w:pPr>
                            <w:r>
                              <w:rPr>
                                <w:b/>
                                <w:color w:val="000000" w:themeColor="text1"/>
                                <w:sz w:val="30"/>
                                <w:szCs w:val="30"/>
                              </w:rPr>
                              <w:t>Was ist erlaubt, w</w:t>
                            </w:r>
                            <w:r w:rsidR="00A63E31" w:rsidRPr="00A63E31">
                              <w:rPr>
                                <w:b/>
                                <w:color w:val="000000" w:themeColor="text1"/>
                                <w:sz w:val="30"/>
                                <w:szCs w:val="30"/>
                              </w:rPr>
                              <w:t>as ist mein Recht?</w:t>
                            </w:r>
                          </w:p>
                          <w:p w:rsidR="00A94014" w:rsidRDefault="00A94014" w:rsidP="00A94014">
                            <w:pPr>
                              <w:spacing w:after="0" w:line="240" w:lineRule="auto"/>
                              <w:rPr>
                                <w:b/>
                                <w:color w:val="D6014E"/>
                              </w:rPr>
                            </w:pPr>
                          </w:p>
                          <w:p w:rsidR="00A94014" w:rsidRPr="00A63E31" w:rsidRDefault="00FB2CFB" w:rsidP="00A94014">
                            <w:pPr>
                              <w:spacing w:after="0" w:line="240" w:lineRule="auto"/>
                              <w:jc w:val="both"/>
                              <w:rPr>
                                <w:b/>
                                <w:color w:val="D97933"/>
                                <w:sz w:val="26"/>
                                <w:szCs w:val="26"/>
                              </w:rPr>
                            </w:pPr>
                            <w:r w:rsidRPr="00A63E31">
                              <w:rPr>
                                <w:b/>
                                <w:color w:val="D97933"/>
                                <w:sz w:val="26"/>
                                <w:szCs w:val="26"/>
                              </w:rPr>
                              <w:t>Keine Verwendung ohne Einwilligung!</w:t>
                            </w:r>
                          </w:p>
                          <w:p w:rsidR="00FB2CFB" w:rsidRDefault="00FB2CFB" w:rsidP="00A94014">
                            <w:pPr>
                              <w:spacing w:after="0" w:line="240" w:lineRule="auto"/>
                              <w:jc w:val="both"/>
                              <w:rPr>
                                <w:color w:val="000000" w:themeColor="text1"/>
                              </w:rPr>
                            </w:pPr>
                          </w:p>
                          <w:p w:rsidR="00A94014" w:rsidRDefault="00FB2CFB" w:rsidP="00FB2CFB">
                            <w:pPr>
                              <w:spacing w:after="0" w:line="240" w:lineRule="auto"/>
                              <w:jc w:val="both"/>
                              <w:rPr>
                                <w:color w:val="000000" w:themeColor="text1"/>
                              </w:rPr>
                            </w:pPr>
                            <w:r w:rsidRPr="00FB2CFB">
                              <w:rPr>
                                <w:color w:val="000000" w:themeColor="text1"/>
                              </w:rPr>
                              <w:t>Private Mobilfunk- oder Festnetz-Telefonnummern, E-Mail-</w:t>
                            </w:r>
                            <w:r>
                              <w:rPr>
                                <w:color w:val="000000" w:themeColor="text1"/>
                              </w:rPr>
                              <w:t>Adressen oder Kontaktdaten für WhatsA</w:t>
                            </w:r>
                            <w:r w:rsidRPr="00FB2CFB">
                              <w:rPr>
                                <w:color w:val="000000" w:themeColor="text1"/>
                              </w:rPr>
                              <w:t>pp etc. sind für die Abwicklung des Arbeitsverhältnisses grundsätzlich nicht erforderlich. Liegt keine Einwilligung des Mitarbeiters vor, ist die Nutzung durch den Arbeitgeber verboten.</w:t>
                            </w:r>
                          </w:p>
                          <w:p w:rsidR="00FB2CFB" w:rsidRDefault="00FB2CFB" w:rsidP="00A94014">
                            <w:pPr>
                              <w:spacing w:after="0" w:line="240" w:lineRule="auto"/>
                              <w:rPr>
                                <w:b/>
                                <w:color w:val="D6014E"/>
                              </w:rPr>
                            </w:pPr>
                          </w:p>
                          <w:p w:rsidR="00A94014" w:rsidRPr="00A63E31" w:rsidRDefault="00FB2CFB" w:rsidP="00A63E31">
                            <w:pPr>
                              <w:spacing w:after="0" w:line="240" w:lineRule="auto"/>
                              <w:jc w:val="both"/>
                              <w:rPr>
                                <w:b/>
                                <w:color w:val="D97933"/>
                                <w:sz w:val="26"/>
                                <w:szCs w:val="26"/>
                              </w:rPr>
                            </w:pPr>
                            <w:r w:rsidRPr="00A63E31">
                              <w:rPr>
                                <w:b/>
                                <w:color w:val="D97933"/>
                                <w:sz w:val="26"/>
                                <w:szCs w:val="26"/>
                              </w:rPr>
                              <w:t>Ich habe meine privaten Telefonnummern im Bewerbungsschreiben angegeben und damit zur Nutzung eingewilligt, oder?</w:t>
                            </w:r>
                          </w:p>
                          <w:p w:rsidR="00FB2CFB" w:rsidRDefault="00FB2CFB" w:rsidP="00A94014">
                            <w:pPr>
                              <w:spacing w:after="0" w:line="240" w:lineRule="auto"/>
                              <w:jc w:val="both"/>
                            </w:pPr>
                          </w:p>
                          <w:p w:rsidR="00A94014" w:rsidRDefault="00A63E31" w:rsidP="00A94014">
                            <w:pPr>
                              <w:spacing w:after="0" w:line="240" w:lineRule="auto"/>
                              <w:jc w:val="both"/>
                            </w:pPr>
                            <w:r w:rsidRPr="00A63E31">
                              <w:t xml:space="preserve">Ja, allerdings unterliegt die Nutzung einer Zweckbindung: Bei Angabe der Telefonnummer im Bewerbungsschreiben </w:t>
                            </w:r>
                            <w:bookmarkStart w:id="0" w:name="_GoBack"/>
                            <w:bookmarkEnd w:id="0"/>
                            <w:r w:rsidRPr="00A63E31">
                              <w:t>hat der Mitarbeiter die Nutzung rund um den Abschluss des Arbeitsvertrages erlaubt.</w:t>
                            </w:r>
                          </w:p>
                          <w:p w:rsidR="00A63E31" w:rsidRDefault="00A63E31" w:rsidP="00A94014">
                            <w:pPr>
                              <w:spacing w:after="0" w:line="240" w:lineRule="auto"/>
                              <w:jc w:val="both"/>
                              <w:rPr>
                                <w:b/>
                                <w:color w:val="D6014E"/>
                              </w:rPr>
                            </w:pPr>
                          </w:p>
                          <w:p w:rsidR="00CF43B7" w:rsidRPr="00A63E31" w:rsidRDefault="00A63E31" w:rsidP="00A94014">
                            <w:pPr>
                              <w:spacing w:after="0" w:line="240" w:lineRule="auto"/>
                              <w:jc w:val="both"/>
                              <w:rPr>
                                <w:color w:val="D97933"/>
                                <w:sz w:val="26"/>
                                <w:szCs w:val="26"/>
                              </w:rPr>
                            </w:pPr>
                            <w:r w:rsidRPr="00A63E31">
                              <w:rPr>
                                <w:b/>
                                <w:color w:val="D97933"/>
                                <w:sz w:val="26"/>
                                <w:szCs w:val="26"/>
                              </w:rPr>
                              <w:t>Nutzung für Rufbereitschaft</w:t>
                            </w:r>
                          </w:p>
                          <w:p w:rsidR="00A94014" w:rsidRDefault="00A94014" w:rsidP="00A94014">
                            <w:pPr>
                              <w:spacing w:after="0" w:line="240" w:lineRule="auto"/>
                              <w:jc w:val="both"/>
                            </w:pPr>
                          </w:p>
                          <w:p w:rsidR="00A94014" w:rsidRDefault="00A63E31" w:rsidP="00A63E31">
                            <w:pPr>
                              <w:spacing w:after="0" w:line="240" w:lineRule="auto"/>
                              <w:jc w:val="both"/>
                              <w:rPr>
                                <w:b/>
                                <w:color w:val="D6014E"/>
                              </w:rPr>
                            </w:pPr>
                            <w:r w:rsidRPr="00A63E31">
                              <w:t xml:space="preserve">Werden Mitarbeiter in der Dienstform „Rufbereitschaft“ eingesetzt, ist der Arbeitgeber berechtigt, diese Mitarbeiter während der Rufbereitschaft zur Arbeit heranzuziehen und hierzu z. B. telefonisch Kontakt mit ihnen aufzunehmen. Dies erfolgt entweder durch Ausstattung des Mitarbeiters mit einem dienstlichen Telefon oder aber durch freiwillige Angabe einer privaten Telefonnummer.  </w:t>
                            </w:r>
                          </w:p>
                          <w:p w:rsidR="00A94014" w:rsidRDefault="00A94014" w:rsidP="00A94014">
                            <w:pPr>
                              <w:spacing w:after="0" w:line="240" w:lineRule="auto"/>
                              <w:rPr>
                                <w:b/>
                                <w:color w:val="D6014E"/>
                              </w:rPr>
                            </w:pPr>
                          </w:p>
                          <w:p w:rsidR="00A94014" w:rsidRPr="00A63E31" w:rsidRDefault="00A63E31" w:rsidP="00A94014">
                            <w:pPr>
                              <w:spacing w:after="0" w:line="240" w:lineRule="auto"/>
                              <w:jc w:val="both"/>
                              <w:rPr>
                                <w:b/>
                                <w:color w:val="D97933"/>
                                <w:sz w:val="26"/>
                                <w:szCs w:val="26"/>
                              </w:rPr>
                            </w:pPr>
                            <w:r>
                              <w:rPr>
                                <w:b/>
                                <w:color w:val="D97933"/>
                                <w:sz w:val="26"/>
                                <w:szCs w:val="26"/>
                              </w:rPr>
                              <w:t>Nutzung für „Holen aus dem Frei“</w:t>
                            </w:r>
                          </w:p>
                          <w:p w:rsidR="00A63E31" w:rsidRDefault="00A63E31" w:rsidP="00A94014">
                            <w:pPr>
                              <w:spacing w:after="0" w:line="240" w:lineRule="auto"/>
                              <w:jc w:val="both"/>
                            </w:pPr>
                          </w:p>
                          <w:p w:rsidR="00A94014" w:rsidRDefault="00A63E31" w:rsidP="00A63E31">
                            <w:pPr>
                              <w:pStyle w:val="KeinLeerraum"/>
                              <w:jc w:val="both"/>
                            </w:pPr>
                            <w:r w:rsidRPr="00A63E31">
                              <w:t>Der Arbeitgeber darf immer dann telefonisch Kontakt zum Mitarbeiter in seiner Freizeit aufnehmen, wenn der Mitarbeiter im Vorfeld eingewilligt hat. Dies wird beispielsweise genutzt, um einen kurzfristigen Personalbedarf abzudecken. Der beabsichtigte Verwendungsgrund ist in der Einwilligung anzugeben. Liegt keine Einwilligung vor, darf der Arbeitgeber die Telefonnummer nicht nutzen.</w:t>
                            </w:r>
                          </w:p>
                          <w:p w:rsidR="00A63E31" w:rsidRDefault="00A63E31" w:rsidP="00A63E31">
                            <w:pPr>
                              <w:pStyle w:val="KeinLeerraum"/>
                              <w:jc w:val="both"/>
                              <w:rPr>
                                <w:b/>
                                <w:color w:val="D6014E"/>
                              </w:rPr>
                            </w:pPr>
                          </w:p>
                          <w:p w:rsidR="00A94014" w:rsidRPr="00A63E31" w:rsidRDefault="00A63E31" w:rsidP="00A63E31">
                            <w:pPr>
                              <w:spacing w:after="0" w:line="240" w:lineRule="auto"/>
                              <w:rPr>
                                <w:b/>
                                <w:color w:val="D97933"/>
                                <w:sz w:val="26"/>
                                <w:szCs w:val="26"/>
                              </w:rPr>
                            </w:pPr>
                            <w:r w:rsidRPr="00A63E31">
                              <w:rPr>
                                <w:b/>
                                <w:color w:val="D97933"/>
                                <w:sz w:val="26"/>
                                <w:szCs w:val="26"/>
                              </w:rPr>
                              <w:t>Ist es unkollegial, wenn Mitarbeiter die Nutzung ihrer Telefonnummer verbieten?</w:t>
                            </w:r>
                          </w:p>
                          <w:p w:rsidR="00A63E31" w:rsidRDefault="00A63E31" w:rsidP="00A94014">
                            <w:pPr>
                              <w:spacing w:after="0" w:line="240" w:lineRule="auto"/>
                              <w:jc w:val="both"/>
                            </w:pPr>
                          </w:p>
                          <w:p w:rsidR="00A94014" w:rsidRDefault="00A63E31" w:rsidP="00A63E31">
                            <w:pPr>
                              <w:spacing w:after="0" w:line="240" w:lineRule="auto"/>
                              <w:jc w:val="both"/>
                              <w:rPr>
                                <w:b/>
                                <w:color w:val="D6014E"/>
                              </w:rPr>
                            </w:pPr>
                            <w:r w:rsidRPr="00A63E31">
                              <w:t>Nein! Jeder Mitarbeiter hat das Recht auf Schutz seiner Privatsphäre. Die europäische Datenschutzgrundverordnung (DSGVO) gibt dem Mitarbeiter hierzu die gesetzliche Grundlage.</w:t>
                            </w:r>
                          </w:p>
                          <w:p w:rsidR="00A63E31" w:rsidRDefault="00A63E31" w:rsidP="00A94014">
                            <w:pPr>
                              <w:spacing w:after="0" w:line="240" w:lineRule="auto"/>
                              <w:rPr>
                                <w:b/>
                                <w:color w:val="D6014E"/>
                                <w:sz w:val="28"/>
                              </w:rPr>
                            </w:pPr>
                          </w:p>
                          <w:p w:rsidR="00A94014" w:rsidRPr="00A63E31" w:rsidRDefault="00A63E31" w:rsidP="00A94014">
                            <w:pPr>
                              <w:spacing w:after="0" w:line="240" w:lineRule="auto"/>
                              <w:rPr>
                                <w:b/>
                                <w:color w:val="D97933"/>
                                <w:sz w:val="26"/>
                                <w:szCs w:val="26"/>
                              </w:rPr>
                            </w:pPr>
                            <w:r w:rsidRPr="00A63E31">
                              <w:rPr>
                                <w:b/>
                                <w:color w:val="D97933"/>
                                <w:sz w:val="26"/>
                                <w:szCs w:val="26"/>
                              </w:rPr>
                              <w:t>Wie kann im Notfall die Versorgung von Patienten, Heimbewohner und Kunden sichergestellt werden?</w:t>
                            </w:r>
                          </w:p>
                          <w:p w:rsidR="00A63E31" w:rsidRDefault="00A63E31" w:rsidP="00A94014">
                            <w:pPr>
                              <w:spacing w:after="0" w:line="240" w:lineRule="auto"/>
                            </w:pPr>
                          </w:p>
                          <w:p w:rsidR="00A94014" w:rsidRDefault="00A63E31" w:rsidP="00A63E31">
                            <w:pPr>
                              <w:jc w:val="both"/>
                              <w:rPr>
                                <w:b/>
                                <w:color w:val="000000" w:themeColor="text1"/>
                              </w:rPr>
                            </w:pPr>
                            <w:r w:rsidRPr="00A63E31">
                              <w:t xml:space="preserve">Die Erfüllung des Versorgungsauftrages liegt im Verantwortungsbereich des Arbeitgebers. Er trägt die Konsequenzen aus der Nutzung eines risikobehafteten Systems, wie dem </w:t>
                            </w:r>
                            <w:r w:rsidR="000D53EB">
                              <w:t>„Anruf im Frei‘“ und dem „Holen aus dem Frei“</w:t>
                            </w:r>
                            <w:r w:rsidRPr="00A63E31">
                              <w:t>. Sicherer – aber auch teuer – ist ein Personalausfallsystem.</w:t>
                            </w:r>
                          </w:p>
                          <w:p w:rsidR="00A94014" w:rsidRPr="00A94014" w:rsidRDefault="00A63E31" w:rsidP="00A94014">
                            <w:pPr>
                              <w:jc w:val="both"/>
                            </w:pPr>
                            <w:r>
                              <w:rPr>
                                <w:b/>
                                <w:i/>
                                <w:color w:val="000000" w:themeColor="text1"/>
                              </w:rPr>
                              <w:t xml:space="preserve">Der </w:t>
                            </w:r>
                            <w:r w:rsidR="004E5B26">
                              <w:rPr>
                                <w:b/>
                                <w:i/>
                                <w:color w:val="000000" w:themeColor="text1"/>
                              </w:rPr>
                              <w:t>Personalrat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6pt;margin-top:190.9pt;width:245.25pt;height:53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" filled="f" stroked="f">
                <v:textbox style="mso-next-textbox:#Textfeld 2">
                  <w:txbxContent>
                    <w:p w:rsidR="00CF43B7" w:rsidRPr="00A63E31" w:rsidRDefault="00FB2CFB" w:rsidP="00A94014">
                      <w:pPr>
                        <w:spacing w:after="0" w:line="240" w:lineRule="auto"/>
                        <w:jc w:val="both"/>
                        <w:rPr>
                          <w:i/>
                          <w:color w:val="D97933"/>
                        </w:rPr>
                      </w:pPr>
                      <w:r w:rsidRPr="00A63E31">
                        <w:rPr>
                          <w:i/>
                          <w:color w:val="D97933"/>
                        </w:rPr>
                        <w:t>„Darf mich mein Arbeitgeber auf meiner privaten Telefonnummer anrufen?</w:t>
                      </w:r>
                    </w:p>
                    <w:p w:rsidR="00FB2CFB" w:rsidRDefault="00FB2CFB" w:rsidP="00A94014">
                      <w:pPr>
                        <w:spacing w:after="0" w:line="240" w:lineRule="auto"/>
                        <w:jc w:val="both"/>
                        <w:rPr>
                          <w:b/>
                          <w:color w:val="000000" w:themeColor="text1"/>
                        </w:rPr>
                      </w:pPr>
                    </w:p>
                    <w:p w:rsidR="00FB2CFB" w:rsidRPr="00A63E31" w:rsidRDefault="00FB2CFB" w:rsidP="00A94014">
                      <w:pPr>
                        <w:spacing w:after="0" w:line="240" w:lineRule="auto"/>
                        <w:jc w:val="both"/>
                        <w:rPr>
                          <w:b/>
                          <w:color w:val="000000" w:themeColor="text1"/>
                        </w:rPr>
                      </w:pPr>
                      <w:r w:rsidRPr="00A63E31">
                        <w:rPr>
                          <w:b/>
                          <w:color w:val="000000" w:themeColor="text1"/>
                        </w:rPr>
                        <w:t xml:space="preserve">Diese Frage beschäftigt deutsche Arbeitsgerichte immer wieder, denn hier sind die Interessen oft gegensätzlich: </w:t>
                      </w:r>
                      <w:r w:rsidR="003025DE">
                        <w:rPr>
                          <w:b/>
                          <w:color w:val="000000" w:themeColor="text1"/>
                        </w:rPr>
                        <w:t xml:space="preserve">einerseits </w:t>
                      </w:r>
                      <w:r w:rsidRPr="00A63E31">
                        <w:rPr>
                          <w:b/>
                          <w:color w:val="000000" w:themeColor="text1"/>
                        </w:rPr>
                        <w:t>Schutz der Privatsphäre un</w:t>
                      </w:r>
                      <w:r w:rsidR="003025DE">
                        <w:rPr>
                          <w:b/>
                          <w:color w:val="000000" w:themeColor="text1"/>
                        </w:rPr>
                        <w:t>d der Freizeit des Arbeitnehmer</w:t>
                      </w:r>
                      <w:r w:rsidR="004E5B26">
                        <w:rPr>
                          <w:b/>
                          <w:color w:val="000000" w:themeColor="text1"/>
                        </w:rPr>
                        <w:t>s</w:t>
                      </w:r>
                      <w:r w:rsidR="003025DE">
                        <w:rPr>
                          <w:b/>
                          <w:color w:val="000000" w:themeColor="text1"/>
                        </w:rPr>
                        <w:t>, andererseits</w:t>
                      </w:r>
                      <w:r w:rsidRPr="00A63E31">
                        <w:rPr>
                          <w:b/>
                          <w:color w:val="000000" w:themeColor="text1"/>
                        </w:rPr>
                        <w:t xml:space="preserve"> Klärung von dienstlichen Fragen bzw. Ruf zur spontanen Dienstübernahme durch den Arbeitgeber. </w:t>
                      </w:r>
                    </w:p>
                    <w:p w:rsidR="00FB2CFB" w:rsidRDefault="00FB2CFB" w:rsidP="00A94014">
                      <w:pPr>
                        <w:spacing w:after="0" w:line="240" w:lineRule="auto"/>
                        <w:jc w:val="both"/>
                        <w:rPr>
                          <w:color w:val="000000" w:themeColor="text1"/>
                        </w:rPr>
                      </w:pPr>
                    </w:p>
                    <w:p w:rsidR="00FB2CFB" w:rsidRPr="00A63E31" w:rsidRDefault="0039219E" w:rsidP="00A63E31">
                      <w:pPr>
                        <w:spacing w:after="0" w:line="240" w:lineRule="auto"/>
                        <w:rPr>
                          <w:b/>
                          <w:color w:val="000000" w:themeColor="text1"/>
                          <w:sz w:val="30"/>
                          <w:szCs w:val="30"/>
                        </w:rPr>
                      </w:pPr>
                      <w:r>
                        <w:rPr>
                          <w:b/>
                          <w:color w:val="000000" w:themeColor="text1"/>
                          <w:sz w:val="30"/>
                          <w:szCs w:val="30"/>
                        </w:rPr>
                        <w:t>Was ist erlaubt, w</w:t>
                      </w:r>
                      <w:r w:rsidR="00A63E31" w:rsidRPr="00A63E31">
                        <w:rPr>
                          <w:b/>
                          <w:color w:val="000000" w:themeColor="text1"/>
                          <w:sz w:val="30"/>
                          <w:szCs w:val="30"/>
                        </w:rPr>
                        <w:t>as ist mein Recht?</w:t>
                      </w:r>
                    </w:p>
                    <w:p w:rsidR="00A94014" w:rsidRDefault="00A94014" w:rsidP="00A94014">
                      <w:pPr>
                        <w:spacing w:after="0" w:line="240" w:lineRule="auto"/>
                        <w:rPr>
                          <w:b/>
                          <w:color w:val="D6014E"/>
                        </w:rPr>
                      </w:pPr>
                    </w:p>
                    <w:p w:rsidR="00A94014" w:rsidRPr="00A63E31" w:rsidRDefault="00FB2CFB" w:rsidP="00A94014">
                      <w:pPr>
                        <w:spacing w:after="0" w:line="240" w:lineRule="auto"/>
                        <w:jc w:val="both"/>
                        <w:rPr>
                          <w:b/>
                          <w:color w:val="D97933"/>
                          <w:sz w:val="26"/>
                          <w:szCs w:val="26"/>
                        </w:rPr>
                      </w:pPr>
                      <w:r w:rsidRPr="00A63E31">
                        <w:rPr>
                          <w:b/>
                          <w:color w:val="D97933"/>
                          <w:sz w:val="26"/>
                          <w:szCs w:val="26"/>
                        </w:rPr>
                        <w:t>Keine Verwendung ohne Einwilligung!</w:t>
                      </w:r>
                    </w:p>
                    <w:p w:rsidR="00FB2CFB" w:rsidRDefault="00FB2CFB" w:rsidP="00A94014">
                      <w:pPr>
                        <w:spacing w:after="0" w:line="240" w:lineRule="auto"/>
                        <w:jc w:val="both"/>
                        <w:rPr>
                          <w:color w:val="000000" w:themeColor="text1"/>
                        </w:rPr>
                      </w:pPr>
                    </w:p>
                    <w:p w:rsidR="00A94014" w:rsidRDefault="00FB2CFB" w:rsidP="00FB2CFB">
                      <w:pPr>
                        <w:spacing w:after="0" w:line="240" w:lineRule="auto"/>
                        <w:jc w:val="both"/>
                        <w:rPr>
                          <w:color w:val="000000" w:themeColor="text1"/>
                        </w:rPr>
                      </w:pPr>
                      <w:r w:rsidRPr="00FB2CFB">
                        <w:rPr>
                          <w:color w:val="000000" w:themeColor="text1"/>
                        </w:rPr>
                        <w:t>Private Mobilfunk- oder Festnetz-Telefonnummern, E-Mail-</w:t>
                      </w:r>
                      <w:r>
                        <w:rPr>
                          <w:color w:val="000000" w:themeColor="text1"/>
                        </w:rPr>
                        <w:t>Adressen oder Kontaktdaten für WhatsA</w:t>
                      </w:r>
                      <w:r w:rsidRPr="00FB2CFB">
                        <w:rPr>
                          <w:color w:val="000000" w:themeColor="text1"/>
                        </w:rPr>
                        <w:t>pp etc. sind für die Abwicklung des Arbeitsverhältnisses grundsätzlich nicht erforderlich. Liegt keine Einwilligung des Mitarbeiters vor, ist die Nutzung durch den Arbeitgeber verboten.</w:t>
                      </w:r>
                    </w:p>
                    <w:p w:rsidR="00FB2CFB" w:rsidRDefault="00FB2CFB" w:rsidP="00A94014">
                      <w:pPr>
                        <w:spacing w:after="0" w:line="240" w:lineRule="auto"/>
                        <w:rPr>
                          <w:b/>
                          <w:color w:val="D6014E"/>
                        </w:rPr>
                      </w:pPr>
                    </w:p>
                    <w:p w:rsidR="00A94014" w:rsidRPr="00A63E31" w:rsidRDefault="00FB2CFB" w:rsidP="00A63E31">
                      <w:pPr>
                        <w:spacing w:after="0" w:line="240" w:lineRule="auto"/>
                        <w:jc w:val="both"/>
                        <w:rPr>
                          <w:b/>
                          <w:color w:val="D97933"/>
                          <w:sz w:val="26"/>
                          <w:szCs w:val="26"/>
                        </w:rPr>
                      </w:pPr>
                      <w:r w:rsidRPr="00A63E31">
                        <w:rPr>
                          <w:b/>
                          <w:color w:val="D97933"/>
                          <w:sz w:val="26"/>
                          <w:szCs w:val="26"/>
                        </w:rPr>
                        <w:t>Ich habe meine privaten Telefonnummern im Bewerbungsschreiben angegeben und damit zur Nutzung eingewilligt, oder?</w:t>
                      </w:r>
                    </w:p>
                    <w:p w:rsidR="00FB2CFB" w:rsidRDefault="00FB2CFB" w:rsidP="00A94014">
                      <w:pPr>
                        <w:spacing w:after="0" w:line="240" w:lineRule="auto"/>
                        <w:jc w:val="both"/>
                      </w:pPr>
                    </w:p>
                    <w:p w:rsidR="00A94014" w:rsidRDefault="00A63E31" w:rsidP="00A94014">
                      <w:pPr>
                        <w:spacing w:after="0" w:line="240" w:lineRule="auto"/>
                        <w:jc w:val="both"/>
                      </w:pPr>
                      <w:r w:rsidRPr="00A63E31">
                        <w:t xml:space="preserve">Ja, allerdings unterliegt die Nutzung einer Zweckbindung: Bei Angabe der Telefonnummer im Bewerbungsschreiben </w:t>
                      </w:r>
                      <w:bookmarkStart w:id="1" w:name="_GoBack"/>
                      <w:bookmarkEnd w:id="1"/>
                      <w:r w:rsidRPr="00A63E31">
                        <w:t>hat der Mitarbeiter die Nutzung rund um den Abschluss des Arbeitsvertrages erlaubt.</w:t>
                      </w:r>
                    </w:p>
                    <w:p w:rsidR="00A63E31" w:rsidRDefault="00A63E31" w:rsidP="00A94014">
                      <w:pPr>
                        <w:spacing w:after="0" w:line="240" w:lineRule="auto"/>
                        <w:jc w:val="both"/>
                        <w:rPr>
                          <w:b/>
                          <w:color w:val="D6014E"/>
                        </w:rPr>
                      </w:pPr>
                    </w:p>
                    <w:p w:rsidR="00CF43B7" w:rsidRPr="00A63E31" w:rsidRDefault="00A63E31" w:rsidP="00A94014">
                      <w:pPr>
                        <w:spacing w:after="0" w:line="240" w:lineRule="auto"/>
                        <w:jc w:val="both"/>
                        <w:rPr>
                          <w:color w:val="D97933"/>
                          <w:sz w:val="26"/>
                          <w:szCs w:val="26"/>
                        </w:rPr>
                      </w:pPr>
                      <w:r w:rsidRPr="00A63E31">
                        <w:rPr>
                          <w:b/>
                          <w:color w:val="D97933"/>
                          <w:sz w:val="26"/>
                          <w:szCs w:val="26"/>
                        </w:rPr>
                        <w:t>Nutzung für Rufbereitschaft</w:t>
                      </w:r>
                    </w:p>
                    <w:p w:rsidR="00A94014" w:rsidRDefault="00A94014" w:rsidP="00A94014">
                      <w:pPr>
                        <w:spacing w:after="0" w:line="240" w:lineRule="auto"/>
                        <w:jc w:val="both"/>
                      </w:pPr>
                    </w:p>
                    <w:p w:rsidR="00A94014" w:rsidRDefault="00A63E31" w:rsidP="00A63E31">
                      <w:pPr>
                        <w:spacing w:after="0" w:line="240" w:lineRule="auto"/>
                        <w:jc w:val="both"/>
                        <w:rPr>
                          <w:b/>
                          <w:color w:val="D6014E"/>
                        </w:rPr>
                      </w:pPr>
                      <w:r w:rsidRPr="00A63E31">
                        <w:t xml:space="preserve">Werden Mitarbeiter in der Dienstform „Rufbereitschaft“ eingesetzt, ist der Arbeitgeber berechtigt, diese Mitarbeiter während der Rufbereitschaft zur Arbeit heranzuziehen und hierzu z. B. telefonisch Kontakt mit ihnen aufzunehmen. Dies erfolgt entweder durch Ausstattung des Mitarbeiters mit einem dienstlichen Telefon oder aber durch freiwillige Angabe einer privaten Telefonnummer.  </w:t>
                      </w:r>
                    </w:p>
                    <w:p w:rsidR="00A94014" w:rsidRDefault="00A94014" w:rsidP="00A94014">
                      <w:pPr>
                        <w:spacing w:after="0" w:line="240" w:lineRule="auto"/>
                        <w:rPr>
                          <w:b/>
                          <w:color w:val="D6014E"/>
                        </w:rPr>
                      </w:pPr>
                    </w:p>
                    <w:p w:rsidR="00A94014" w:rsidRPr="00A63E31" w:rsidRDefault="00A63E31" w:rsidP="00A94014">
                      <w:pPr>
                        <w:spacing w:after="0" w:line="240" w:lineRule="auto"/>
                        <w:jc w:val="both"/>
                        <w:rPr>
                          <w:b/>
                          <w:color w:val="D97933"/>
                          <w:sz w:val="26"/>
                          <w:szCs w:val="26"/>
                        </w:rPr>
                      </w:pPr>
                      <w:r>
                        <w:rPr>
                          <w:b/>
                          <w:color w:val="D97933"/>
                          <w:sz w:val="26"/>
                          <w:szCs w:val="26"/>
                        </w:rPr>
                        <w:t>Nutzung für „Holen aus dem Frei“</w:t>
                      </w:r>
                    </w:p>
                    <w:p w:rsidR="00A63E31" w:rsidRDefault="00A63E31" w:rsidP="00A94014">
                      <w:pPr>
                        <w:spacing w:after="0" w:line="240" w:lineRule="auto"/>
                        <w:jc w:val="both"/>
                      </w:pPr>
                    </w:p>
                    <w:p w:rsidR="00A94014" w:rsidRDefault="00A63E31" w:rsidP="00A63E31">
                      <w:pPr>
                        <w:pStyle w:val="KeinLeerraum"/>
                        <w:jc w:val="both"/>
                      </w:pPr>
                      <w:r w:rsidRPr="00A63E31">
                        <w:t>Der Arbeitgeber darf immer dann telefonisch Kontakt zum Mitarbeiter in seiner Freizeit aufnehmen, wenn der Mitarbeiter im Vorfeld eingewilligt hat. Dies wird beispielsweise genutzt, um einen kurzfristigen Personalbedarf abzudecken. Der beabsichtigte Verwendungsgrund ist in der Einwilligung anzugeben. Liegt keine Einwilligung vor, darf der Arbeitgeber die Telefonnummer nicht nutzen.</w:t>
                      </w:r>
                    </w:p>
                    <w:p w:rsidR="00A63E31" w:rsidRDefault="00A63E31" w:rsidP="00A63E31">
                      <w:pPr>
                        <w:pStyle w:val="KeinLeerraum"/>
                        <w:jc w:val="both"/>
                        <w:rPr>
                          <w:b/>
                          <w:color w:val="D6014E"/>
                        </w:rPr>
                      </w:pPr>
                    </w:p>
                    <w:p w:rsidR="00A94014" w:rsidRPr="00A63E31" w:rsidRDefault="00A63E31" w:rsidP="00A63E31">
                      <w:pPr>
                        <w:spacing w:after="0" w:line="240" w:lineRule="auto"/>
                        <w:rPr>
                          <w:b/>
                          <w:color w:val="D97933"/>
                          <w:sz w:val="26"/>
                          <w:szCs w:val="26"/>
                        </w:rPr>
                      </w:pPr>
                      <w:r w:rsidRPr="00A63E31">
                        <w:rPr>
                          <w:b/>
                          <w:color w:val="D97933"/>
                          <w:sz w:val="26"/>
                          <w:szCs w:val="26"/>
                        </w:rPr>
                        <w:t>Ist es unkollegial, wenn Mitarbeiter die Nutzung ihrer Telefonnummer verbieten?</w:t>
                      </w:r>
                    </w:p>
                    <w:p w:rsidR="00A63E31" w:rsidRDefault="00A63E31" w:rsidP="00A94014">
                      <w:pPr>
                        <w:spacing w:after="0" w:line="240" w:lineRule="auto"/>
                        <w:jc w:val="both"/>
                      </w:pPr>
                    </w:p>
                    <w:p w:rsidR="00A94014" w:rsidRDefault="00A63E31" w:rsidP="00A63E31">
                      <w:pPr>
                        <w:spacing w:after="0" w:line="240" w:lineRule="auto"/>
                        <w:jc w:val="both"/>
                        <w:rPr>
                          <w:b/>
                          <w:color w:val="D6014E"/>
                        </w:rPr>
                      </w:pPr>
                      <w:r w:rsidRPr="00A63E31">
                        <w:t>Nein! Jeder Mitarbeiter hat das Recht auf Schutz seiner Privatsphäre. Die europäische Datenschutzgrundverordnung (DSGVO) gibt dem Mitarbeiter hierzu die gesetzliche Grundlage.</w:t>
                      </w:r>
                    </w:p>
                    <w:p w:rsidR="00A63E31" w:rsidRDefault="00A63E31" w:rsidP="00A94014">
                      <w:pPr>
                        <w:spacing w:after="0" w:line="240" w:lineRule="auto"/>
                        <w:rPr>
                          <w:b/>
                          <w:color w:val="D6014E"/>
                          <w:sz w:val="28"/>
                        </w:rPr>
                      </w:pPr>
                    </w:p>
                    <w:p w:rsidR="00A94014" w:rsidRPr="00A63E31" w:rsidRDefault="00A63E31" w:rsidP="00A94014">
                      <w:pPr>
                        <w:spacing w:after="0" w:line="240" w:lineRule="auto"/>
                        <w:rPr>
                          <w:b/>
                          <w:color w:val="D97933"/>
                          <w:sz w:val="26"/>
                          <w:szCs w:val="26"/>
                        </w:rPr>
                      </w:pPr>
                      <w:r w:rsidRPr="00A63E31">
                        <w:rPr>
                          <w:b/>
                          <w:color w:val="D97933"/>
                          <w:sz w:val="26"/>
                          <w:szCs w:val="26"/>
                        </w:rPr>
                        <w:t>Wie kann im Notfall die Versorgung von Patienten, Heimbewohner und Kunden sichergestellt werden?</w:t>
                      </w:r>
                    </w:p>
                    <w:p w:rsidR="00A63E31" w:rsidRDefault="00A63E31" w:rsidP="00A94014">
                      <w:pPr>
                        <w:spacing w:after="0" w:line="240" w:lineRule="auto"/>
                      </w:pPr>
                    </w:p>
                    <w:p w:rsidR="00A94014" w:rsidRDefault="00A63E31" w:rsidP="00A63E31">
                      <w:pPr>
                        <w:jc w:val="both"/>
                        <w:rPr>
                          <w:b/>
                          <w:color w:val="000000" w:themeColor="text1"/>
                        </w:rPr>
                      </w:pPr>
                      <w:r w:rsidRPr="00A63E31">
                        <w:t xml:space="preserve">Die Erfüllung des Versorgungsauftrages liegt im Verantwortungsbereich des Arbeitgebers. Er trägt die Konsequenzen aus der Nutzung eines risikobehafteten Systems, wie dem </w:t>
                      </w:r>
                      <w:r w:rsidR="000D53EB">
                        <w:t>„Anruf im Frei‘“ und dem „Holen aus dem Frei“</w:t>
                      </w:r>
                      <w:r w:rsidRPr="00A63E31">
                        <w:t>. Sicherer – aber auch teuer – ist ein Personalausfallsystem.</w:t>
                      </w:r>
                    </w:p>
                    <w:p w:rsidR="00A94014" w:rsidRPr="00A94014" w:rsidRDefault="00A63E31" w:rsidP="00A94014">
                      <w:pPr>
                        <w:jc w:val="both"/>
                      </w:pPr>
                      <w:r>
                        <w:rPr>
                          <w:b/>
                          <w:i/>
                          <w:color w:val="000000" w:themeColor="text1"/>
                        </w:rPr>
                        <w:t xml:space="preserve">Der </w:t>
                      </w:r>
                      <w:r w:rsidR="004E5B26">
                        <w:rPr>
                          <w:b/>
                          <w:i/>
                          <w:color w:val="000000" w:themeColor="text1"/>
                        </w:rPr>
                        <w:t>Personalrat</w:t>
                      </w:r>
                    </w:p>
                  </w:txbxContent>
                </v:textbox>
              </v:shape>
            </w:pict>
          </mc:Fallback>
        </mc:AlternateContent>
      </w:r>
    </w:p>
    <w:sectPr w:rsidR="005D280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57D" w:rsidRDefault="0042057D" w:rsidP="0042057D">
      <w:pPr>
        <w:spacing w:after="0" w:line="240" w:lineRule="auto"/>
      </w:pPr>
      <w:r>
        <w:separator/>
      </w:r>
    </w:p>
  </w:endnote>
  <w:endnote w:type="continuationSeparator" w:id="0">
    <w:p w:rsidR="0042057D" w:rsidRDefault="0042057D" w:rsidP="0042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0FE" w:rsidRDefault="003170FE">
    <w:pPr>
      <w:pStyle w:val="Fuzeile"/>
      <w:rPr>
        <w:noProof/>
      </w:rPr>
    </w:pPr>
  </w:p>
  <w:p w:rsidR="003170FE" w:rsidRDefault="003170FE">
    <w:pPr>
      <w:pStyle w:val="Fuzeile"/>
      <w:rPr>
        <w:noProof/>
      </w:rPr>
    </w:pPr>
  </w:p>
  <w:p w:rsidR="003170FE" w:rsidRDefault="003170FE">
    <w:pPr>
      <w:pStyle w:val="Fuzeile"/>
      <w:rPr>
        <w:noProof/>
      </w:rPr>
    </w:pPr>
    <w:r>
      <w:rPr>
        <w:noProof/>
      </w:rPr>
      <w:drawing>
        <wp:anchor distT="0" distB="0" distL="114300" distR="114300" simplePos="0" relativeHeight="251659264" behindDoc="1" locked="0" layoutInCell="1" allowOverlap="1">
          <wp:simplePos x="0" y="0"/>
          <wp:positionH relativeFrom="column">
            <wp:posOffset>2053590</wp:posOffset>
          </wp:positionH>
          <wp:positionV relativeFrom="paragraph">
            <wp:posOffset>-1395730</wp:posOffset>
          </wp:positionV>
          <wp:extent cx="4583029" cy="2073275"/>
          <wp:effectExtent l="0" t="0" r="8255"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83029" cy="2073275"/>
                  </a:xfrm>
                  <a:prstGeom prst="rect">
                    <a:avLst/>
                  </a:prstGeom>
                </pic:spPr>
              </pic:pic>
            </a:graphicData>
          </a:graphic>
          <wp14:sizeRelH relativeFrom="margin">
            <wp14:pctWidth>0</wp14:pctWidth>
          </wp14:sizeRelH>
          <wp14:sizeRelV relativeFrom="margin">
            <wp14:pctHeight>0</wp14:pctHeight>
          </wp14:sizeRelV>
        </wp:anchor>
      </w:drawing>
    </w:r>
  </w:p>
  <w:p w:rsidR="003170FE" w:rsidRDefault="00317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57D" w:rsidRDefault="0042057D" w:rsidP="0042057D">
      <w:pPr>
        <w:spacing w:after="0" w:line="240" w:lineRule="auto"/>
      </w:pPr>
      <w:r>
        <w:separator/>
      </w:r>
    </w:p>
  </w:footnote>
  <w:footnote w:type="continuationSeparator" w:id="0">
    <w:p w:rsidR="0042057D" w:rsidRDefault="0042057D" w:rsidP="0042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57D" w:rsidRDefault="00605C68">
    <w:pPr>
      <w:pStyle w:val="Kopfzeile"/>
    </w:pPr>
    <w:r>
      <w:rPr>
        <w:noProof/>
      </w:rPr>
      <w:drawing>
        <wp:anchor distT="0" distB="0" distL="114300" distR="114300" simplePos="0" relativeHeight="251658240" behindDoc="1" locked="0" layoutInCell="1" allowOverlap="1">
          <wp:simplePos x="0" y="0"/>
          <wp:positionH relativeFrom="column">
            <wp:posOffset>-909320</wp:posOffset>
          </wp:positionH>
          <wp:positionV relativeFrom="paragraph">
            <wp:posOffset>-211454</wp:posOffset>
          </wp:positionV>
          <wp:extent cx="7541800" cy="10667997"/>
          <wp:effectExtent l="0" t="0" r="254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ntergrund Newsletter BR.jpg"/>
                  <pic:cNvPicPr/>
                </pic:nvPicPr>
                <pic:blipFill>
                  <a:blip r:embed="rId1">
                    <a:extLst>
                      <a:ext uri="{28A0092B-C50C-407E-A947-70E740481C1C}">
                        <a14:useLocalDpi xmlns:a14="http://schemas.microsoft.com/office/drawing/2010/main" val="0"/>
                      </a:ext>
                    </a:extLst>
                  </a:blip>
                  <a:stretch>
                    <a:fillRect/>
                  </a:stretch>
                </pic:blipFill>
                <pic:spPr>
                  <a:xfrm>
                    <a:off x="0" y="0"/>
                    <a:ext cx="7541800" cy="106679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3C0A"/>
    <w:multiLevelType w:val="hybridMultilevel"/>
    <w:tmpl w:val="03424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EE1AF0"/>
    <w:multiLevelType w:val="hybridMultilevel"/>
    <w:tmpl w:val="52309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7D"/>
    <w:rsid w:val="000175BF"/>
    <w:rsid w:val="000D0BCC"/>
    <w:rsid w:val="000D53EB"/>
    <w:rsid w:val="0019180C"/>
    <w:rsid w:val="001C3B24"/>
    <w:rsid w:val="001E5E1D"/>
    <w:rsid w:val="001E61C4"/>
    <w:rsid w:val="001F6721"/>
    <w:rsid w:val="00283FD5"/>
    <w:rsid w:val="002F01EB"/>
    <w:rsid w:val="003025DE"/>
    <w:rsid w:val="003170FE"/>
    <w:rsid w:val="00370931"/>
    <w:rsid w:val="003903D9"/>
    <w:rsid w:val="0039219E"/>
    <w:rsid w:val="00412B6B"/>
    <w:rsid w:val="0042057D"/>
    <w:rsid w:val="00430718"/>
    <w:rsid w:val="00452E99"/>
    <w:rsid w:val="004620E2"/>
    <w:rsid w:val="004670B6"/>
    <w:rsid w:val="004E5B26"/>
    <w:rsid w:val="0056387A"/>
    <w:rsid w:val="00586C22"/>
    <w:rsid w:val="005A7F99"/>
    <w:rsid w:val="00605C68"/>
    <w:rsid w:val="006212C8"/>
    <w:rsid w:val="006875AF"/>
    <w:rsid w:val="00696E49"/>
    <w:rsid w:val="006E4086"/>
    <w:rsid w:val="006E5E75"/>
    <w:rsid w:val="00803946"/>
    <w:rsid w:val="00850DCA"/>
    <w:rsid w:val="0087569A"/>
    <w:rsid w:val="008B2E4F"/>
    <w:rsid w:val="009D4C31"/>
    <w:rsid w:val="00A63E31"/>
    <w:rsid w:val="00A94014"/>
    <w:rsid w:val="00B8269B"/>
    <w:rsid w:val="00B86F08"/>
    <w:rsid w:val="00B96527"/>
    <w:rsid w:val="00C5679B"/>
    <w:rsid w:val="00CB4288"/>
    <w:rsid w:val="00CC6B41"/>
    <w:rsid w:val="00CF43B7"/>
    <w:rsid w:val="00D84850"/>
    <w:rsid w:val="00E27480"/>
    <w:rsid w:val="00EF45BA"/>
    <w:rsid w:val="00F04112"/>
    <w:rsid w:val="00F51FD6"/>
    <w:rsid w:val="00F70F2D"/>
    <w:rsid w:val="00F77A09"/>
    <w:rsid w:val="00FA58B4"/>
    <w:rsid w:val="00FB2CFB"/>
    <w:rsid w:val="00FF4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D046C"/>
  <w15:chartTrackingRefBased/>
  <w15:docId w15:val="{2B8B8E99-585B-4ACD-A41A-D320E2C7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05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5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057D"/>
  </w:style>
  <w:style w:type="paragraph" w:styleId="Fuzeile">
    <w:name w:val="footer"/>
    <w:basedOn w:val="Standard"/>
    <w:link w:val="FuzeileZchn"/>
    <w:uiPriority w:val="99"/>
    <w:unhideWhenUsed/>
    <w:rsid w:val="004205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057D"/>
  </w:style>
  <w:style w:type="paragraph" w:styleId="Listenabsatz">
    <w:name w:val="List Paragraph"/>
    <w:basedOn w:val="Standard"/>
    <w:uiPriority w:val="34"/>
    <w:qFormat/>
    <w:rsid w:val="0042057D"/>
    <w:pPr>
      <w:ind w:left="720"/>
      <w:contextualSpacing/>
    </w:pPr>
  </w:style>
  <w:style w:type="paragraph" w:styleId="Sprechblasentext">
    <w:name w:val="Balloon Text"/>
    <w:basedOn w:val="Standard"/>
    <w:link w:val="SprechblasentextZchn"/>
    <w:uiPriority w:val="99"/>
    <w:semiHidden/>
    <w:unhideWhenUsed/>
    <w:rsid w:val="006E5E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5E75"/>
    <w:rPr>
      <w:rFonts w:ascii="Segoe UI" w:hAnsi="Segoe UI" w:cs="Segoe UI"/>
      <w:sz w:val="18"/>
      <w:szCs w:val="18"/>
    </w:rPr>
  </w:style>
  <w:style w:type="paragraph" w:styleId="KeinLeerraum">
    <w:name w:val="No Spacing"/>
    <w:uiPriority w:val="1"/>
    <w:qFormat/>
    <w:rsid w:val="00605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21304">
      <w:bodyDiv w:val="1"/>
      <w:marLeft w:val="0"/>
      <w:marRight w:val="0"/>
      <w:marTop w:val="0"/>
      <w:marBottom w:val="0"/>
      <w:divBdr>
        <w:top w:val="none" w:sz="0" w:space="0" w:color="auto"/>
        <w:left w:val="none" w:sz="0" w:space="0" w:color="auto"/>
        <w:bottom w:val="none" w:sz="0" w:space="0" w:color="auto"/>
        <w:right w:val="none" w:sz="0" w:space="0" w:color="auto"/>
      </w:divBdr>
    </w:div>
    <w:div w:id="682709288">
      <w:bodyDiv w:val="1"/>
      <w:marLeft w:val="0"/>
      <w:marRight w:val="0"/>
      <w:marTop w:val="0"/>
      <w:marBottom w:val="0"/>
      <w:divBdr>
        <w:top w:val="none" w:sz="0" w:space="0" w:color="auto"/>
        <w:left w:val="none" w:sz="0" w:space="0" w:color="auto"/>
        <w:bottom w:val="none" w:sz="0" w:space="0" w:color="auto"/>
        <w:right w:val="none" w:sz="0" w:space="0" w:color="auto"/>
      </w:divBdr>
    </w:div>
    <w:div w:id="806750722">
      <w:bodyDiv w:val="1"/>
      <w:marLeft w:val="0"/>
      <w:marRight w:val="0"/>
      <w:marTop w:val="0"/>
      <w:marBottom w:val="0"/>
      <w:divBdr>
        <w:top w:val="none" w:sz="0" w:space="0" w:color="auto"/>
        <w:left w:val="none" w:sz="0" w:space="0" w:color="auto"/>
        <w:bottom w:val="none" w:sz="0" w:space="0" w:color="auto"/>
        <w:right w:val="none" w:sz="0" w:space="0" w:color="auto"/>
      </w:divBdr>
    </w:div>
    <w:div w:id="825168754">
      <w:bodyDiv w:val="1"/>
      <w:marLeft w:val="0"/>
      <w:marRight w:val="0"/>
      <w:marTop w:val="0"/>
      <w:marBottom w:val="0"/>
      <w:divBdr>
        <w:top w:val="none" w:sz="0" w:space="0" w:color="auto"/>
        <w:left w:val="none" w:sz="0" w:space="0" w:color="auto"/>
        <w:bottom w:val="none" w:sz="0" w:space="0" w:color="auto"/>
        <w:right w:val="none" w:sz="0" w:space="0" w:color="auto"/>
      </w:divBdr>
    </w:div>
    <w:div w:id="911543688">
      <w:bodyDiv w:val="1"/>
      <w:marLeft w:val="0"/>
      <w:marRight w:val="0"/>
      <w:marTop w:val="0"/>
      <w:marBottom w:val="0"/>
      <w:divBdr>
        <w:top w:val="none" w:sz="0" w:space="0" w:color="auto"/>
        <w:left w:val="none" w:sz="0" w:space="0" w:color="auto"/>
        <w:bottom w:val="none" w:sz="0" w:space="0" w:color="auto"/>
        <w:right w:val="none" w:sz="0" w:space="0" w:color="auto"/>
      </w:divBdr>
    </w:div>
    <w:div w:id="1046299011">
      <w:bodyDiv w:val="1"/>
      <w:marLeft w:val="0"/>
      <w:marRight w:val="0"/>
      <w:marTop w:val="0"/>
      <w:marBottom w:val="0"/>
      <w:divBdr>
        <w:top w:val="none" w:sz="0" w:space="0" w:color="auto"/>
        <w:left w:val="none" w:sz="0" w:space="0" w:color="auto"/>
        <w:bottom w:val="none" w:sz="0" w:space="0" w:color="auto"/>
        <w:right w:val="none" w:sz="0" w:space="0" w:color="auto"/>
      </w:divBdr>
    </w:div>
    <w:div w:id="1050494226">
      <w:bodyDiv w:val="1"/>
      <w:marLeft w:val="0"/>
      <w:marRight w:val="0"/>
      <w:marTop w:val="0"/>
      <w:marBottom w:val="0"/>
      <w:divBdr>
        <w:top w:val="none" w:sz="0" w:space="0" w:color="auto"/>
        <w:left w:val="none" w:sz="0" w:space="0" w:color="auto"/>
        <w:bottom w:val="none" w:sz="0" w:space="0" w:color="auto"/>
        <w:right w:val="none" w:sz="0" w:space="0" w:color="auto"/>
      </w:divBdr>
    </w:div>
    <w:div w:id="1291593353">
      <w:bodyDiv w:val="1"/>
      <w:marLeft w:val="0"/>
      <w:marRight w:val="0"/>
      <w:marTop w:val="0"/>
      <w:marBottom w:val="0"/>
      <w:divBdr>
        <w:top w:val="none" w:sz="0" w:space="0" w:color="auto"/>
        <w:left w:val="none" w:sz="0" w:space="0" w:color="auto"/>
        <w:bottom w:val="none" w:sz="0" w:space="0" w:color="auto"/>
        <w:right w:val="none" w:sz="0" w:space="0" w:color="auto"/>
      </w:divBdr>
    </w:div>
    <w:div w:id="1576163727">
      <w:bodyDiv w:val="1"/>
      <w:marLeft w:val="0"/>
      <w:marRight w:val="0"/>
      <w:marTop w:val="0"/>
      <w:marBottom w:val="0"/>
      <w:divBdr>
        <w:top w:val="none" w:sz="0" w:space="0" w:color="auto"/>
        <w:left w:val="none" w:sz="0" w:space="0" w:color="auto"/>
        <w:bottom w:val="none" w:sz="0" w:space="0" w:color="auto"/>
        <w:right w:val="none" w:sz="0" w:space="0" w:color="auto"/>
      </w:divBdr>
    </w:div>
    <w:div w:id="1601916428">
      <w:bodyDiv w:val="1"/>
      <w:marLeft w:val="0"/>
      <w:marRight w:val="0"/>
      <w:marTop w:val="0"/>
      <w:marBottom w:val="0"/>
      <w:divBdr>
        <w:top w:val="none" w:sz="0" w:space="0" w:color="auto"/>
        <w:left w:val="none" w:sz="0" w:space="0" w:color="auto"/>
        <w:bottom w:val="none" w:sz="0" w:space="0" w:color="auto"/>
        <w:right w:val="none" w:sz="0" w:space="0" w:color="auto"/>
      </w:divBdr>
    </w:div>
    <w:div w:id="1991325378">
      <w:bodyDiv w:val="1"/>
      <w:marLeft w:val="0"/>
      <w:marRight w:val="0"/>
      <w:marTop w:val="0"/>
      <w:marBottom w:val="0"/>
      <w:divBdr>
        <w:top w:val="none" w:sz="0" w:space="0" w:color="auto"/>
        <w:left w:val="none" w:sz="0" w:space="0" w:color="auto"/>
        <w:bottom w:val="none" w:sz="0" w:space="0" w:color="auto"/>
        <w:right w:val="none" w:sz="0" w:space="0" w:color="auto"/>
      </w:divBdr>
    </w:div>
    <w:div w:id="19978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7E60-2F2D-4A7C-A30E-40A46A48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Kretschmann</dc:creator>
  <cp:keywords/>
  <dc:description/>
  <cp:lastModifiedBy>Grafik</cp:lastModifiedBy>
  <cp:revision>3</cp:revision>
  <cp:lastPrinted>2019-01-14T12:20:00Z</cp:lastPrinted>
  <dcterms:created xsi:type="dcterms:W3CDTF">2019-01-14T12:48:00Z</dcterms:created>
  <dcterms:modified xsi:type="dcterms:W3CDTF">2019-01-18T08:56:00Z</dcterms:modified>
</cp:coreProperties>
</file>